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jc w:val="left"/>
        <w:rPr>
          <w:rFonts w:ascii="黑体" w:eastAsia="黑体"/>
          <w:bCs/>
          <w:sz w:val="28"/>
          <w:szCs w:val="28"/>
        </w:rPr>
      </w:pPr>
      <w:r>
        <w:rPr>
          <w:rFonts w:ascii="黑体" w:eastAsia="黑体"/>
          <w:bCs/>
          <w:sz w:val="28"/>
          <w:szCs w:val="28"/>
        </w:rPr>
        <w:t>1</w:t>
      </w:r>
      <w:r>
        <w:rPr>
          <w:rFonts w:hint="eastAsia" w:ascii="黑体" w:eastAsia="黑体"/>
          <w:bCs/>
          <w:sz w:val="28"/>
          <w:szCs w:val="28"/>
        </w:rPr>
        <w:t>建设项目基本情况</w:t>
      </w:r>
    </w:p>
    <w:tbl>
      <w:tblPr>
        <w:tblStyle w:val="22"/>
        <w:tblW w:w="9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5"/>
        <w:gridCol w:w="268"/>
        <w:gridCol w:w="390"/>
        <w:gridCol w:w="2073"/>
        <w:gridCol w:w="229"/>
        <w:gridCol w:w="763"/>
        <w:gridCol w:w="745"/>
        <w:gridCol w:w="621"/>
        <w:gridCol w:w="456"/>
        <w:gridCol w:w="21"/>
        <w:gridCol w:w="460"/>
        <w:gridCol w:w="859"/>
        <w:gridCol w:w="523"/>
        <w:gridCol w:w="13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1" w:hRule="atLeast"/>
        </w:trPr>
        <w:tc>
          <w:tcPr>
            <w:tcW w:w="1205" w:type="dxa"/>
            <w:vAlign w:val="center"/>
          </w:tcPr>
          <w:p>
            <w:pPr>
              <w:jc w:val="center"/>
              <w:rPr>
                <w:b/>
                <w:sz w:val="24"/>
                <w:szCs w:val="28"/>
              </w:rPr>
            </w:pPr>
            <w:r>
              <w:rPr>
                <w:rFonts w:hint="eastAsia"/>
                <w:b/>
                <w:sz w:val="24"/>
                <w:szCs w:val="28"/>
              </w:rPr>
              <w:t>项目名称</w:t>
            </w:r>
          </w:p>
        </w:tc>
        <w:tc>
          <w:tcPr>
            <w:tcW w:w="8721" w:type="dxa"/>
            <w:gridSpan w:val="13"/>
            <w:vAlign w:val="center"/>
          </w:tcPr>
          <w:p>
            <w:pPr>
              <w:jc w:val="center"/>
              <w:rPr>
                <w:rFonts w:hint="eastAsia" w:ascii="宋体" w:eastAsia="宋体"/>
                <w:sz w:val="24"/>
                <w:lang w:eastAsia="zh-CN"/>
              </w:rPr>
            </w:pPr>
            <w:r>
              <w:rPr>
                <w:rFonts w:hint="eastAsia" w:ascii="宋体" w:hAnsi="宋体"/>
                <w:sz w:val="24"/>
              </w:rPr>
              <w:t>青岛特钢炼铁鼓风110kV变配电站工程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8" w:hRule="exact"/>
        </w:trPr>
        <w:tc>
          <w:tcPr>
            <w:tcW w:w="1205" w:type="dxa"/>
            <w:vAlign w:val="center"/>
          </w:tcPr>
          <w:p>
            <w:pPr>
              <w:jc w:val="center"/>
              <w:rPr>
                <w:b/>
                <w:sz w:val="24"/>
                <w:szCs w:val="28"/>
              </w:rPr>
            </w:pPr>
            <w:r>
              <w:rPr>
                <w:rFonts w:hint="eastAsia"/>
                <w:b/>
                <w:sz w:val="24"/>
                <w:szCs w:val="28"/>
              </w:rPr>
              <w:t>建设单位</w:t>
            </w:r>
          </w:p>
        </w:tc>
        <w:tc>
          <w:tcPr>
            <w:tcW w:w="8721" w:type="dxa"/>
            <w:gridSpan w:val="13"/>
            <w:vAlign w:val="center"/>
          </w:tcPr>
          <w:p>
            <w:pPr>
              <w:jc w:val="center"/>
              <w:rPr>
                <w:rFonts w:ascii="宋体"/>
                <w:sz w:val="24"/>
              </w:rPr>
            </w:pPr>
            <w:r>
              <w:rPr>
                <w:rFonts w:hint="eastAsia" w:ascii="宋体" w:hAnsi="宋体"/>
                <w:sz w:val="24"/>
              </w:rPr>
              <w:t>青岛特殊钢铁有限公司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2" w:hRule="exact"/>
        </w:trPr>
        <w:tc>
          <w:tcPr>
            <w:tcW w:w="1205" w:type="dxa"/>
            <w:vAlign w:val="center"/>
          </w:tcPr>
          <w:p>
            <w:pPr>
              <w:jc w:val="center"/>
              <w:rPr>
                <w:b/>
                <w:sz w:val="24"/>
                <w:szCs w:val="28"/>
              </w:rPr>
            </w:pPr>
            <w:r>
              <w:rPr>
                <w:rFonts w:hint="eastAsia"/>
                <w:b/>
                <w:sz w:val="24"/>
                <w:szCs w:val="28"/>
              </w:rPr>
              <w:t>法人代表</w:t>
            </w:r>
          </w:p>
        </w:tc>
        <w:tc>
          <w:tcPr>
            <w:tcW w:w="3723" w:type="dxa"/>
            <w:gridSpan w:val="5"/>
            <w:vAlign w:val="center"/>
          </w:tcPr>
          <w:p>
            <w:pPr>
              <w:jc w:val="center"/>
              <w:rPr>
                <w:rFonts w:ascii="宋体"/>
                <w:sz w:val="24"/>
              </w:rPr>
            </w:pPr>
            <w:r>
              <w:rPr>
                <w:rFonts w:hint="eastAsia" w:ascii="宋体" w:hAnsi="宋体"/>
                <w:sz w:val="24"/>
              </w:rPr>
              <w:t>钱刚</w:t>
            </w:r>
          </w:p>
        </w:tc>
        <w:tc>
          <w:tcPr>
            <w:tcW w:w="1843" w:type="dxa"/>
            <w:gridSpan w:val="4"/>
            <w:vAlign w:val="center"/>
          </w:tcPr>
          <w:p>
            <w:pPr>
              <w:jc w:val="center"/>
              <w:rPr>
                <w:rFonts w:ascii="宋体"/>
                <w:b/>
                <w:bCs/>
                <w:sz w:val="24"/>
                <w:szCs w:val="32"/>
              </w:rPr>
            </w:pPr>
            <w:r>
              <w:rPr>
                <w:rFonts w:hint="eastAsia" w:ascii="宋体" w:hAnsi="宋体"/>
                <w:b/>
                <w:bCs/>
                <w:sz w:val="24"/>
                <w:szCs w:val="32"/>
              </w:rPr>
              <w:t>联系人</w:t>
            </w:r>
          </w:p>
        </w:tc>
        <w:tc>
          <w:tcPr>
            <w:tcW w:w="3155" w:type="dxa"/>
            <w:gridSpan w:val="4"/>
            <w:vAlign w:val="center"/>
          </w:tcPr>
          <w:p>
            <w:pPr>
              <w:jc w:val="center"/>
              <w:rPr>
                <w:rFonts w:ascii="宋体"/>
                <w:bCs/>
                <w:sz w:val="24"/>
              </w:rPr>
            </w:pPr>
            <w:r>
              <w:rPr>
                <w:rFonts w:hint="eastAsia" w:ascii="宋体"/>
                <w:bCs/>
                <w:sz w:val="24"/>
              </w:rPr>
              <w:t>潘世日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9" w:hRule="exact"/>
        </w:trPr>
        <w:tc>
          <w:tcPr>
            <w:tcW w:w="1205" w:type="dxa"/>
            <w:vAlign w:val="center"/>
          </w:tcPr>
          <w:p>
            <w:pPr>
              <w:jc w:val="center"/>
              <w:rPr>
                <w:b/>
                <w:sz w:val="24"/>
                <w:szCs w:val="28"/>
              </w:rPr>
            </w:pPr>
            <w:r>
              <w:rPr>
                <w:rFonts w:hint="eastAsia"/>
                <w:b/>
                <w:sz w:val="24"/>
                <w:szCs w:val="28"/>
              </w:rPr>
              <w:t>通讯地址</w:t>
            </w:r>
          </w:p>
        </w:tc>
        <w:tc>
          <w:tcPr>
            <w:tcW w:w="8721" w:type="dxa"/>
            <w:gridSpan w:val="13"/>
            <w:vAlign w:val="center"/>
          </w:tcPr>
          <w:p>
            <w:pPr>
              <w:jc w:val="center"/>
              <w:rPr>
                <w:rFonts w:ascii="宋体"/>
                <w:sz w:val="24"/>
              </w:rPr>
            </w:pPr>
            <w:r>
              <w:rPr>
                <w:rFonts w:hint="eastAsia" w:ascii="宋体" w:hAnsi="宋体"/>
                <w:sz w:val="24"/>
              </w:rPr>
              <w:t>青岛市黄岛区泊里镇集成路1886号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5" w:hRule="exact"/>
        </w:trPr>
        <w:tc>
          <w:tcPr>
            <w:tcW w:w="1205" w:type="dxa"/>
            <w:vAlign w:val="center"/>
          </w:tcPr>
          <w:p>
            <w:pPr>
              <w:jc w:val="center"/>
              <w:rPr>
                <w:b/>
                <w:sz w:val="24"/>
                <w:szCs w:val="28"/>
              </w:rPr>
            </w:pPr>
            <w:r>
              <w:rPr>
                <w:rFonts w:hint="eastAsia"/>
                <w:b/>
                <w:sz w:val="24"/>
                <w:szCs w:val="28"/>
              </w:rPr>
              <w:t>联系电话</w:t>
            </w:r>
          </w:p>
        </w:tc>
        <w:tc>
          <w:tcPr>
            <w:tcW w:w="2731" w:type="dxa"/>
            <w:gridSpan w:val="3"/>
            <w:vAlign w:val="center"/>
          </w:tcPr>
          <w:p>
            <w:pPr>
              <w:jc w:val="center"/>
              <w:rPr>
                <w:rFonts w:ascii="宋体"/>
                <w:bCs/>
                <w:sz w:val="24"/>
              </w:rPr>
            </w:pPr>
            <w:r>
              <w:rPr>
                <w:rFonts w:hint="eastAsia" w:ascii="宋体"/>
                <w:bCs/>
                <w:sz w:val="24"/>
              </w:rPr>
              <w:t>0532-84816761</w:t>
            </w:r>
          </w:p>
        </w:tc>
        <w:tc>
          <w:tcPr>
            <w:tcW w:w="992" w:type="dxa"/>
            <w:gridSpan w:val="2"/>
            <w:vAlign w:val="center"/>
          </w:tcPr>
          <w:p>
            <w:pPr>
              <w:jc w:val="center"/>
              <w:rPr>
                <w:rFonts w:ascii="宋体"/>
                <w:b/>
                <w:bCs/>
                <w:sz w:val="24"/>
                <w:szCs w:val="32"/>
              </w:rPr>
            </w:pPr>
            <w:r>
              <w:rPr>
                <w:rFonts w:hint="eastAsia" w:ascii="宋体" w:hAnsi="宋体"/>
                <w:b/>
                <w:bCs/>
                <w:sz w:val="24"/>
                <w:szCs w:val="32"/>
              </w:rPr>
              <w:t>传真</w:t>
            </w:r>
          </w:p>
        </w:tc>
        <w:tc>
          <w:tcPr>
            <w:tcW w:w="1822" w:type="dxa"/>
            <w:gridSpan w:val="3"/>
            <w:vAlign w:val="center"/>
          </w:tcPr>
          <w:p>
            <w:pPr>
              <w:jc w:val="center"/>
              <w:rPr>
                <w:rFonts w:ascii="宋体"/>
                <w:bCs/>
                <w:sz w:val="24"/>
              </w:rPr>
            </w:pPr>
            <w:r>
              <w:rPr>
                <w:rFonts w:hint="eastAsia" w:ascii="宋体"/>
                <w:bCs/>
                <w:sz w:val="24"/>
              </w:rPr>
              <w:t>0532-58815030</w:t>
            </w:r>
          </w:p>
        </w:tc>
        <w:tc>
          <w:tcPr>
            <w:tcW w:w="1340" w:type="dxa"/>
            <w:gridSpan w:val="3"/>
            <w:vAlign w:val="center"/>
          </w:tcPr>
          <w:p>
            <w:pPr>
              <w:rPr>
                <w:rFonts w:ascii="宋体"/>
                <w:b/>
                <w:bCs/>
                <w:sz w:val="24"/>
                <w:szCs w:val="32"/>
              </w:rPr>
            </w:pPr>
            <w:r>
              <w:rPr>
                <w:rFonts w:hint="eastAsia" w:ascii="宋体" w:hAnsi="宋体"/>
                <w:b/>
                <w:bCs/>
                <w:sz w:val="24"/>
                <w:szCs w:val="32"/>
              </w:rPr>
              <w:t>邮政编码</w:t>
            </w:r>
          </w:p>
        </w:tc>
        <w:tc>
          <w:tcPr>
            <w:tcW w:w="1836" w:type="dxa"/>
            <w:gridSpan w:val="2"/>
            <w:vAlign w:val="center"/>
          </w:tcPr>
          <w:p>
            <w:pPr>
              <w:snapToGrid w:val="0"/>
              <w:jc w:val="center"/>
              <w:rPr>
                <w:rFonts w:ascii="宋体"/>
                <w:sz w:val="24"/>
              </w:rPr>
            </w:pPr>
            <w:r>
              <w:rPr>
                <w:rFonts w:hint="eastAsia" w:ascii="宋体"/>
                <w:sz w:val="24"/>
              </w:rPr>
              <w:t>266409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47" w:hRule="atLeast"/>
        </w:trPr>
        <w:tc>
          <w:tcPr>
            <w:tcW w:w="1205" w:type="dxa"/>
            <w:vAlign w:val="center"/>
          </w:tcPr>
          <w:p>
            <w:pPr>
              <w:jc w:val="center"/>
              <w:rPr>
                <w:b/>
                <w:sz w:val="24"/>
                <w:szCs w:val="28"/>
              </w:rPr>
            </w:pPr>
            <w:r>
              <w:rPr>
                <w:rFonts w:hint="eastAsia"/>
                <w:b/>
                <w:sz w:val="24"/>
                <w:szCs w:val="28"/>
              </w:rPr>
              <w:t>建设地点</w:t>
            </w:r>
          </w:p>
        </w:tc>
        <w:tc>
          <w:tcPr>
            <w:tcW w:w="8721" w:type="dxa"/>
            <w:gridSpan w:val="13"/>
            <w:vAlign w:val="center"/>
          </w:tcPr>
          <w:p>
            <w:pPr>
              <w:rPr>
                <w:rFonts w:ascii="宋体" w:cs="宋体"/>
                <w:kern w:val="0"/>
                <w:sz w:val="24"/>
              </w:rPr>
            </w:pPr>
            <w:r>
              <w:rPr>
                <w:rFonts w:hint="eastAsia" w:ascii="宋体" w:hAnsi="宋体"/>
                <w:sz w:val="24"/>
              </w:rPr>
              <w:t>炼铁鼓风110kV变电站位于青岛特殊钢铁有限公司内，</w:t>
            </w:r>
            <w:r>
              <w:rPr>
                <w:rFonts w:hint="eastAsia" w:ascii="宋体" w:hAnsi="宋体"/>
                <w:sz w:val="24"/>
                <w:lang w:val="en-US" w:eastAsia="zh-CN"/>
              </w:rPr>
              <w:t>1号高炉东侧，经四路西侧，</w:t>
            </w:r>
            <w:r>
              <w:rPr>
                <w:rFonts w:hint="eastAsia" w:ascii="宋体" w:hAnsi="宋体"/>
                <w:sz w:val="24"/>
              </w:rPr>
              <w:t>冶炼铁前110kV</w:t>
            </w:r>
            <w:r>
              <w:rPr>
                <w:rFonts w:hint="eastAsia" w:ascii="宋体" w:hAnsi="宋体"/>
                <w:sz w:val="24"/>
                <w:lang w:val="en-US" w:eastAsia="zh-CN"/>
              </w:rPr>
              <w:t>变电站西南约130m</w:t>
            </w:r>
            <w:r>
              <w:rPr>
                <w:rFonts w:hint="eastAsia" w:ascii="宋体" w:hAnsi="宋体"/>
                <w:sz w:val="24"/>
              </w:rPr>
              <w:t>。电缆</w:t>
            </w:r>
            <w:r>
              <w:rPr>
                <w:rFonts w:hint="eastAsia" w:ascii="宋体" w:hAnsi="宋体"/>
                <w:sz w:val="24"/>
                <w:lang w:val="en-US" w:eastAsia="zh-CN"/>
              </w:rPr>
              <w:t>通廊</w:t>
            </w:r>
            <w:r>
              <w:rPr>
                <w:rFonts w:hint="eastAsia" w:ascii="宋体" w:hAnsi="宋体"/>
                <w:sz w:val="24"/>
              </w:rPr>
              <w:t>全线位于青岛特殊钢铁有限公司厂区内。</w:t>
            </w:r>
            <w:r>
              <w:rPr>
                <w:rFonts w:ascii="宋体" w:cs="宋体"/>
                <w:kern w:val="0"/>
                <w:sz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3" w:hRule="atLeast"/>
        </w:trPr>
        <w:tc>
          <w:tcPr>
            <w:tcW w:w="1863" w:type="dxa"/>
            <w:gridSpan w:val="3"/>
            <w:vAlign w:val="center"/>
          </w:tcPr>
          <w:p>
            <w:pPr>
              <w:rPr>
                <w:rFonts w:ascii="宋体"/>
                <w:b/>
                <w:sz w:val="24"/>
                <w:szCs w:val="32"/>
              </w:rPr>
            </w:pPr>
            <w:r>
              <w:rPr>
                <w:rFonts w:hint="eastAsia" w:ascii="宋体" w:hAnsi="宋体"/>
                <w:b/>
                <w:sz w:val="24"/>
                <w:szCs w:val="32"/>
              </w:rPr>
              <w:t>立项审批部门</w:t>
            </w:r>
          </w:p>
        </w:tc>
        <w:tc>
          <w:tcPr>
            <w:tcW w:w="3810" w:type="dxa"/>
            <w:gridSpan w:val="4"/>
            <w:vAlign w:val="center"/>
          </w:tcPr>
          <w:p>
            <w:pPr>
              <w:jc w:val="center"/>
              <w:rPr>
                <w:rFonts w:ascii="宋体"/>
                <w:bCs/>
                <w:sz w:val="24"/>
              </w:rPr>
            </w:pPr>
            <w:r>
              <w:rPr>
                <w:rFonts w:hAnsi="宋体"/>
                <w:sz w:val="24"/>
              </w:rPr>
              <w:t>——</w:t>
            </w:r>
          </w:p>
        </w:tc>
        <w:tc>
          <w:tcPr>
            <w:tcW w:w="1558" w:type="dxa"/>
            <w:gridSpan w:val="4"/>
            <w:vAlign w:val="center"/>
          </w:tcPr>
          <w:p>
            <w:pPr>
              <w:jc w:val="center"/>
              <w:rPr>
                <w:rFonts w:ascii="宋体"/>
                <w:b/>
                <w:bCs/>
                <w:sz w:val="24"/>
                <w:szCs w:val="32"/>
              </w:rPr>
            </w:pPr>
            <w:r>
              <w:rPr>
                <w:rFonts w:hint="eastAsia" w:ascii="宋体" w:hAnsi="宋体"/>
                <w:b/>
                <w:bCs/>
                <w:sz w:val="24"/>
                <w:szCs w:val="32"/>
              </w:rPr>
              <w:t>批准文号</w:t>
            </w:r>
          </w:p>
        </w:tc>
        <w:tc>
          <w:tcPr>
            <w:tcW w:w="2695" w:type="dxa"/>
            <w:gridSpan w:val="3"/>
            <w:vAlign w:val="center"/>
          </w:tcPr>
          <w:p>
            <w:pPr>
              <w:jc w:val="center"/>
              <w:rPr>
                <w:rFonts w:ascii="宋体"/>
                <w:bCs/>
                <w:sz w:val="24"/>
              </w:rPr>
            </w:pPr>
            <w:r>
              <w:rPr>
                <w:rFonts w:ascii="宋体" w:hAnsi="宋体"/>
                <w:bCs/>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52" w:hRule="exact"/>
        </w:trPr>
        <w:tc>
          <w:tcPr>
            <w:tcW w:w="1473" w:type="dxa"/>
            <w:gridSpan w:val="2"/>
            <w:vAlign w:val="center"/>
          </w:tcPr>
          <w:p>
            <w:pPr>
              <w:jc w:val="center"/>
              <w:rPr>
                <w:rFonts w:ascii="宋体"/>
                <w:b/>
                <w:sz w:val="24"/>
                <w:szCs w:val="28"/>
              </w:rPr>
            </w:pPr>
            <w:r>
              <w:rPr>
                <w:rFonts w:hint="eastAsia" w:ascii="宋体" w:hAnsi="宋体"/>
                <w:b/>
                <w:sz w:val="24"/>
                <w:szCs w:val="28"/>
              </w:rPr>
              <w:t>建设性质</w:t>
            </w:r>
          </w:p>
        </w:tc>
        <w:tc>
          <w:tcPr>
            <w:tcW w:w="4200" w:type="dxa"/>
            <w:gridSpan w:val="5"/>
            <w:vAlign w:val="center"/>
          </w:tcPr>
          <w:p>
            <w:pPr>
              <w:jc w:val="center"/>
              <w:rPr>
                <w:rFonts w:hint="eastAsia" w:ascii="宋体" w:eastAsia="宋体"/>
                <w:bCs/>
                <w:sz w:val="24"/>
                <w:szCs w:val="32"/>
                <w:lang w:eastAsia="zh-CN"/>
              </w:rPr>
            </w:pPr>
            <w:r>
              <w:rPr>
                <w:rFonts w:hint="eastAsia" w:ascii="宋体" w:hAnsi="宋体"/>
                <w:bCs/>
                <w:sz w:val="24"/>
                <w:lang w:eastAsia="zh-CN"/>
              </w:rPr>
              <w:t>☑</w:t>
            </w:r>
            <w:r>
              <w:rPr>
                <w:rFonts w:hint="eastAsia" w:ascii="宋体" w:hAnsi="宋体"/>
                <w:bCs/>
                <w:sz w:val="24"/>
              </w:rPr>
              <w:t>新建（已建成）□改扩建□技改</w:t>
            </w:r>
          </w:p>
        </w:tc>
        <w:tc>
          <w:tcPr>
            <w:tcW w:w="1558" w:type="dxa"/>
            <w:gridSpan w:val="4"/>
            <w:vAlign w:val="center"/>
          </w:tcPr>
          <w:p>
            <w:pPr>
              <w:jc w:val="center"/>
              <w:rPr>
                <w:rFonts w:ascii="宋体"/>
                <w:b/>
                <w:bCs/>
                <w:sz w:val="24"/>
                <w:szCs w:val="32"/>
              </w:rPr>
            </w:pPr>
            <w:r>
              <w:rPr>
                <w:rFonts w:hint="eastAsia" w:ascii="宋体" w:hAnsi="宋体"/>
                <w:b/>
                <w:bCs/>
                <w:sz w:val="24"/>
                <w:szCs w:val="32"/>
              </w:rPr>
              <w:t>行业类别</w:t>
            </w:r>
          </w:p>
          <w:p>
            <w:pPr>
              <w:jc w:val="center"/>
              <w:rPr>
                <w:rFonts w:ascii="宋体"/>
                <w:b/>
                <w:bCs/>
                <w:sz w:val="24"/>
                <w:szCs w:val="32"/>
              </w:rPr>
            </w:pPr>
            <w:r>
              <w:rPr>
                <w:rFonts w:hint="eastAsia" w:ascii="宋体" w:hAnsi="宋体"/>
                <w:b/>
                <w:bCs/>
                <w:sz w:val="24"/>
                <w:szCs w:val="32"/>
              </w:rPr>
              <w:t>及代码</w:t>
            </w:r>
          </w:p>
        </w:tc>
        <w:tc>
          <w:tcPr>
            <w:tcW w:w="2695" w:type="dxa"/>
            <w:gridSpan w:val="3"/>
            <w:vAlign w:val="center"/>
          </w:tcPr>
          <w:p>
            <w:pPr>
              <w:jc w:val="center"/>
              <w:rPr>
                <w:rFonts w:ascii="宋体"/>
                <w:bCs/>
                <w:szCs w:val="21"/>
              </w:rPr>
            </w:pPr>
            <w:r>
              <w:rPr>
                <w:rFonts w:ascii="宋体" w:hAnsi="宋体"/>
                <w:bCs/>
                <w:sz w:val="24"/>
              </w:rPr>
              <w:t>D4420</w:t>
            </w:r>
            <w:r>
              <w:rPr>
                <w:rFonts w:hint="eastAsia" w:ascii="宋体" w:hAnsi="宋体"/>
                <w:bCs/>
                <w:sz w:val="24"/>
              </w:rPr>
              <w:t>电力供应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trPr>
        <w:tc>
          <w:tcPr>
            <w:tcW w:w="1473" w:type="dxa"/>
            <w:gridSpan w:val="2"/>
            <w:vAlign w:val="center"/>
          </w:tcPr>
          <w:p>
            <w:pPr>
              <w:jc w:val="center"/>
              <w:rPr>
                <w:b/>
                <w:sz w:val="24"/>
                <w:szCs w:val="28"/>
              </w:rPr>
            </w:pPr>
            <w:r>
              <w:rPr>
                <w:rFonts w:hint="eastAsia"/>
                <w:b/>
                <w:sz w:val="24"/>
                <w:szCs w:val="28"/>
              </w:rPr>
              <w:t>占地面积</w:t>
            </w:r>
          </w:p>
          <w:p>
            <w:pPr>
              <w:jc w:val="center"/>
              <w:rPr>
                <w:b/>
                <w:sz w:val="24"/>
              </w:rPr>
            </w:pPr>
            <w:r>
              <w:rPr>
                <w:rFonts w:hint="eastAsia"/>
                <w:b/>
                <w:sz w:val="24"/>
              </w:rPr>
              <w:t>（平方米）</w:t>
            </w:r>
          </w:p>
        </w:tc>
        <w:tc>
          <w:tcPr>
            <w:tcW w:w="4200" w:type="dxa"/>
            <w:gridSpan w:val="5"/>
            <w:vAlign w:val="center"/>
          </w:tcPr>
          <w:p>
            <w:pPr>
              <w:jc w:val="center"/>
              <w:rPr>
                <w:rFonts w:hint="eastAsia" w:ascii="宋体" w:eastAsia="宋体"/>
                <w:bCs/>
                <w:sz w:val="24"/>
                <w:szCs w:val="32"/>
                <w:lang w:val="en-US" w:eastAsia="zh-CN"/>
              </w:rPr>
            </w:pPr>
            <w:r>
              <w:rPr>
                <w:rFonts w:hint="eastAsia" w:ascii="宋体"/>
                <w:bCs/>
                <w:sz w:val="24"/>
                <w:szCs w:val="32"/>
                <w:lang w:val="en-US" w:eastAsia="zh-CN"/>
              </w:rPr>
              <w:t>约1200</w:t>
            </w:r>
          </w:p>
        </w:tc>
        <w:tc>
          <w:tcPr>
            <w:tcW w:w="1558" w:type="dxa"/>
            <w:gridSpan w:val="4"/>
            <w:vAlign w:val="center"/>
          </w:tcPr>
          <w:p>
            <w:pPr>
              <w:jc w:val="center"/>
              <w:rPr>
                <w:rFonts w:ascii="宋体"/>
                <w:b/>
                <w:bCs/>
                <w:sz w:val="24"/>
                <w:szCs w:val="32"/>
              </w:rPr>
            </w:pPr>
            <w:r>
              <w:rPr>
                <w:rFonts w:hint="eastAsia" w:ascii="宋体" w:hAnsi="宋体"/>
                <w:b/>
                <w:bCs/>
                <w:sz w:val="24"/>
                <w:szCs w:val="32"/>
              </w:rPr>
              <w:t>绿化面积</w:t>
            </w:r>
          </w:p>
          <w:p>
            <w:pPr>
              <w:jc w:val="center"/>
              <w:rPr>
                <w:rFonts w:ascii="宋体"/>
                <w:bCs/>
                <w:sz w:val="24"/>
                <w:szCs w:val="32"/>
              </w:rPr>
            </w:pPr>
            <w:r>
              <w:rPr>
                <w:rFonts w:hint="eastAsia" w:ascii="宋体" w:hAnsi="宋体"/>
                <w:b/>
                <w:bCs/>
                <w:sz w:val="24"/>
                <w:szCs w:val="32"/>
              </w:rPr>
              <w:t>（平方米）</w:t>
            </w:r>
          </w:p>
        </w:tc>
        <w:tc>
          <w:tcPr>
            <w:tcW w:w="2695" w:type="dxa"/>
            <w:gridSpan w:val="3"/>
            <w:vAlign w:val="center"/>
          </w:tcPr>
          <w:p>
            <w:pPr>
              <w:jc w:val="center"/>
              <w:rPr>
                <w:rFonts w:ascii="宋体"/>
                <w:bCs/>
                <w:sz w:val="24"/>
                <w:szCs w:val="32"/>
              </w:rPr>
            </w:pPr>
            <w:r>
              <w:rPr>
                <w:rFonts w:ascii="宋体" w:hAnsi="宋体"/>
                <w:bCs/>
                <w:sz w:val="24"/>
                <w:szCs w:val="32"/>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52" w:hRule="exact"/>
        </w:trPr>
        <w:tc>
          <w:tcPr>
            <w:tcW w:w="1473" w:type="dxa"/>
            <w:gridSpan w:val="2"/>
            <w:vAlign w:val="center"/>
          </w:tcPr>
          <w:p>
            <w:pPr>
              <w:jc w:val="center"/>
              <w:rPr>
                <w:b/>
                <w:sz w:val="24"/>
                <w:szCs w:val="28"/>
              </w:rPr>
            </w:pPr>
            <w:r>
              <w:rPr>
                <w:rFonts w:hint="eastAsia"/>
                <w:b/>
                <w:sz w:val="24"/>
                <w:szCs w:val="28"/>
              </w:rPr>
              <w:t>总投资</w:t>
            </w:r>
          </w:p>
          <w:p>
            <w:pPr>
              <w:jc w:val="center"/>
              <w:rPr>
                <w:b/>
                <w:sz w:val="24"/>
              </w:rPr>
            </w:pPr>
            <w:r>
              <w:rPr>
                <w:rFonts w:hint="eastAsia"/>
                <w:b/>
                <w:sz w:val="24"/>
              </w:rPr>
              <w:t>（万元）</w:t>
            </w:r>
          </w:p>
        </w:tc>
        <w:tc>
          <w:tcPr>
            <w:tcW w:w="2692" w:type="dxa"/>
            <w:gridSpan w:val="3"/>
            <w:vAlign w:val="center"/>
          </w:tcPr>
          <w:p>
            <w:pPr>
              <w:jc w:val="center"/>
              <w:rPr>
                <w:rFonts w:hint="eastAsia" w:ascii="宋体" w:eastAsia="宋体"/>
                <w:bCs/>
                <w:sz w:val="24"/>
                <w:szCs w:val="32"/>
                <w:lang w:val="en-US" w:eastAsia="zh-CN"/>
              </w:rPr>
            </w:pPr>
            <w:r>
              <w:rPr>
                <w:rFonts w:hint="eastAsia" w:ascii="宋体"/>
                <w:bCs/>
                <w:sz w:val="24"/>
                <w:szCs w:val="32"/>
                <w:lang w:val="en-US" w:eastAsia="zh-CN"/>
              </w:rPr>
              <w:t>3000</w:t>
            </w:r>
          </w:p>
        </w:tc>
        <w:tc>
          <w:tcPr>
            <w:tcW w:w="1508" w:type="dxa"/>
            <w:gridSpan w:val="2"/>
            <w:vAlign w:val="center"/>
          </w:tcPr>
          <w:p>
            <w:pPr>
              <w:rPr>
                <w:rFonts w:ascii="宋体"/>
                <w:b/>
                <w:bCs/>
                <w:sz w:val="24"/>
                <w:szCs w:val="32"/>
              </w:rPr>
            </w:pPr>
            <w:r>
              <w:rPr>
                <w:rFonts w:hint="eastAsia" w:ascii="宋体" w:hAnsi="宋体"/>
                <w:b/>
                <w:bCs/>
                <w:sz w:val="24"/>
                <w:szCs w:val="32"/>
              </w:rPr>
              <w:t>其中：环保</w:t>
            </w:r>
          </w:p>
          <w:p>
            <w:pPr>
              <w:rPr>
                <w:rFonts w:ascii="宋体"/>
                <w:b/>
                <w:bCs/>
                <w:sz w:val="24"/>
                <w:szCs w:val="32"/>
              </w:rPr>
            </w:pPr>
            <w:r>
              <w:rPr>
                <w:rFonts w:hint="eastAsia" w:ascii="宋体" w:hAnsi="宋体"/>
                <w:b/>
                <w:bCs/>
                <w:sz w:val="24"/>
                <w:szCs w:val="32"/>
              </w:rPr>
              <w:t>投资（万元）</w:t>
            </w:r>
          </w:p>
        </w:tc>
        <w:tc>
          <w:tcPr>
            <w:tcW w:w="1558" w:type="dxa"/>
            <w:gridSpan w:val="4"/>
            <w:vAlign w:val="center"/>
          </w:tcPr>
          <w:p>
            <w:pPr>
              <w:jc w:val="center"/>
              <w:rPr>
                <w:rFonts w:hint="eastAsia" w:ascii="宋体" w:eastAsia="宋体"/>
                <w:bCs/>
                <w:sz w:val="24"/>
                <w:szCs w:val="32"/>
                <w:lang w:eastAsia="zh-CN"/>
              </w:rPr>
            </w:pPr>
            <w:r>
              <w:rPr>
                <w:rFonts w:hint="eastAsia" w:ascii="宋体"/>
                <w:bCs/>
                <w:sz w:val="24"/>
                <w:szCs w:val="32"/>
                <w:lang w:val="en-US" w:eastAsia="zh-CN"/>
              </w:rPr>
              <w:t>5</w:t>
            </w:r>
          </w:p>
        </w:tc>
        <w:tc>
          <w:tcPr>
            <w:tcW w:w="1382" w:type="dxa"/>
            <w:gridSpan w:val="2"/>
            <w:vAlign w:val="center"/>
          </w:tcPr>
          <w:p>
            <w:pPr>
              <w:jc w:val="center"/>
              <w:rPr>
                <w:rFonts w:ascii="宋体"/>
                <w:bCs/>
                <w:sz w:val="24"/>
                <w:szCs w:val="32"/>
              </w:rPr>
            </w:pPr>
            <w:r>
              <w:rPr>
                <w:rFonts w:hint="eastAsia" w:ascii="宋体" w:hAnsi="宋体"/>
                <w:b/>
                <w:bCs/>
                <w:sz w:val="24"/>
                <w:szCs w:val="32"/>
              </w:rPr>
              <w:t>环保投资占总投资比例</w:t>
            </w:r>
          </w:p>
        </w:tc>
        <w:tc>
          <w:tcPr>
            <w:tcW w:w="1313" w:type="dxa"/>
            <w:vAlign w:val="center"/>
          </w:tcPr>
          <w:p>
            <w:pPr>
              <w:jc w:val="center"/>
              <w:rPr>
                <w:rFonts w:hint="eastAsia" w:ascii="宋体" w:eastAsia="宋体"/>
                <w:bCs/>
                <w:sz w:val="24"/>
                <w:szCs w:val="32"/>
                <w:lang w:eastAsia="zh-CN"/>
              </w:rPr>
            </w:pPr>
            <w:r>
              <w:rPr>
                <w:rFonts w:hint="eastAsia" w:ascii="宋体" w:hAnsi="宋体"/>
                <w:bCs/>
                <w:sz w:val="24"/>
                <w:szCs w:val="32"/>
                <w:lang w:eastAsia="zh-CN"/>
              </w:rPr>
              <w:t>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trPr>
        <w:tc>
          <w:tcPr>
            <w:tcW w:w="1473" w:type="dxa"/>
            <w:gridSpan w:val="2"/>
            <w:vAlign w:val="center"/>
          </w:tcPr>
          <w:p>
            <w:pPr>
              <w:jc w:val="center"/>
              <w:rPr>
                <w:b/>
                <w:sz w:val="24"/>
                <w:szCs w:val="28"/>
              </w:rPr>
            </w:pPr>
            <w:r>
              <w:rPr>
                <w:rFonts w:hint="eastAsia"/>
                <w:b/>
                <w:sz w:val="24"/>
                <w:szCs w:val="28"/>
              </w:rPr>
              <w:t>评价经费</w:t>
            </w:r>
          </w:p>
          <w:p>
            <w:pPr>
              <w:jc w:val="center"/>
              <w:rPr>
                <w:b/>
                <w:sz w:val="24"/>
              </w:rPr>
            </w:pPr>
            <w:r>
              <w:rPr>
                <w:rFonts w:hint="eastAsia"/>
                <w:b/>
                <w:sz w:val="24"/>
              </w:rPr>
              <w:t>（万元）</w:t>
            </w:r>
          </w:p>
        </w:tc>
        <w:tc>
          <w:tcPr>
            <w:tcW w:w="2692" w:type="dxa"/>
            <w:gridSpan w:val="3"/>
            <w:vAlign w:val="center"/>
          </w:tcPr>
          <w:p>
            <w:pPr>
              <w:jc w:val="center"/>
              <w:rPr>
                <w:rFonts w:ascii="宋体"/>
                <w:bCs/>
                <w:sz w:val="24"/>
                <w:szCs w:val="32"/>
              </w:rPr>
            </w:pPr>
            <w:r>
              <w:rPr>
                <w:rFonts w:ascii="宋体" w:hAnsi="宋体"/>
                <w:bCs/>
                <w:sz w:val="24"/>
                <w:szCs w:val="32"/>
              </w:rPr>
              <w:t>——</w:t>
            </w:r>
          </w:p>
        </w:tc>
        <w:tc>
          <w:tcPr>
            <w:tcW w:w="2129" w:type="dxa"/>
            <w:gridSpan w:val="3"/>
            <w:vAlign w:val="center"/>
          </w:tcPr>
          <w:p>
            <w:pPr>
              <w:jc w:val="center"/>
              <w:rPr>
                <w:rFonts w:ascii="宋体"/>
                <w:b/>
                <w:bCs/>
                <w:sz w:val="24"/>
                <w:szCs w:val="32"/>
              </w:rPr>
            </w:pPr>
            <w:r>
              <w:rPr>
                <w:rFonts w:hint="eastAsia" w:ascii="宋体" w:hAnsi="宋体"/>
                <w:b/>
                <w:bCs/>
                <w:sz w:val="24"/>
                <w:szCs w:val="32"/>
              </w:rPr>
              <w:t>投产日期</w:t>
            </w:r>
          </w:p>
        </w:tc>
        <w:tc>
          <w:tcPr>
            <w:tcW w:w="3632" w:type="dxa"/>
            <w:gridSpan w:val="6"/>
            <w:vAlign w:val="center"/>
          </w:tcPr>
          <w:p>
            <w:pPr>
              <w:jc w:val="center"/>
              <w:rPr>
                <w:rFonts w:ascii="宋体"/>
                <w:bCs/>
                <w:sz w:val="24"/>
                <w:szCs w:val="32"/>
              </w:rPr>
            </w:pPr>
            <w:r>
              <w:rPr>
                <w:rFonts w:hint="eastAsia" w:ascii="宋体" w:hAnsi="宋体"/>
                <w:bCs/>
                <w:sz w:val="24"/>
                <w:szCs w:val="32"/>
              </w:rPr>
              <w:t>2015年9月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63" w:hRule="atLeast"/>
        </w:trPr>
        <w:tc>
          <w:tcPr>
            <w:tcW w:w="9926" w:type="dxa"/>
            <w:gridSpan w:val="14"/>
            <w:vAlign w:val="center"/>
          </w:tcPr>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1.1 </w:t>
            </w:r>
            <w:r>
              <w:rPr>
                <w:rFonts w:hint="eastAsia" w:ascii="黑体" w:eastAsia="黑体"/>
                <w:snapToGrid w:val="0"/>
                <w:kern w:val="0"/>
                <w:sz w:val="28"/>
                <w:szCs w:val="28"/>
              </w:rPr>
              <w:t>项目背景</w:t>
            </w:r>
          </w:p>
          <w:p>
            <w:pPr>
              <w:pStyle w:val="80"/>
              <w:spacing w:line="360" w:lineRule="auto"/>
              <w:rPr>
                <w:rFonts w:hint="eastAsia"/>
                <w:color w:val="auto"/>
              </w:rPr>
            </w:pPr>
            <w:r>
              <w:rPr>
                <w:rFonts w:hint="eastAsia"/>
                <w:color w:val="auto"/>
              </w:rPr>
              <w:t>青岛特殊钢铁有限公司（简称青岛特钢）坐落于青岛市黄岛区泊里镇董家口循环经济区</w:t>
            </w:r>
            <w:r>
              <w:rPr>
                <w:rFonts w:hint="eastAsia"/>
                <w:color w:val="auto"/>
                <w:lang w:eastAsia="zh-CN"/>
              </w:rPr>
              <w:t>（青岛市黄岛区泊里镇集成路</w:t>
            </w:r>
            <w:r>
              <w:rPr>
                <w:rFonts w:hint="eastAsia"/>
                <w:color w:val="auto"/>
                <w:lang w:val="en-US" w:eastAsia="zh-CN"/>
              </w:rPr>
              <w:t>1886号</w:t>
            </w:r>
            <w:r>
              <w:rPr>
                <w:rFonts w:hint="eastAsia"/>
                <w:color w:val="auto"/>
                <w:lang w:eastAsia="zh-CN"/>
              </w:rPr>
              <w:t>）</w:t>
            </w:r>
            <w:r>
              <w:rPr>
                <w:rFonts w:hint="eastAsia"/>
                <w:color w:val="auto"/>
              </w:rPr>
              <w:t>，成立于2011年7月，其前身为青岛钢铁有限公司。总占地面积9297亩，紧邻董家口港40万吨级矿石码头，具有不可比拟的区位优势。厂区目前配备大型机械化封闭原料场，7m顶装焦炉、240㎡烧结机、1800m³高炉、100t转炉及真空精炼、连铸、专业化精品线、棒、扁钢生产线，整体设计布局紧凑。</w:t>
            </w:r>
          </w:p>
          <w:p>
            <w:pPr>
              <w:pStyle w:val="80"/>
              <w:spacing w:line="360" w:lineRule="auto"/>
              <w:rPr>
                <w:rFonts w:hint="eastAsia"/>
                <w:color w:val="auto"/>
                <w:lang w:val="en-US" w:eastAsia="zh-CN"/>
              </w:rPr>
            </w:pPr>
            <w:bookmarkStart w:id="7" w:name="_GoBack"/>
            <w:bookmarkEnd w:id="7"/>
            <w:r>
              <w:rPr>
                <w:rFonts w:hint="eastAsia"/>
                <w:color w:val="auto"/>
              </w:rPr>
              <w:t xml:space="preserve"> 为满足青岛特钢厂区内</w:t>
            </w:r>
            <w:r>
              <w:rPr>
                <w:rFonts w:hint="eastAsia"/>
                <w:color w:val="auto"/>
                <w:lang w:val="en-US" w:eastAsia="zh-CN"/>
              </w:rPr>
              <w:t>的</w:t>
            </w:r>
            <w:r>
              <w:rPr>
                <w:rFonts w:hint="eastAsia"/>
                <w:color w:val="auto"/>
              </w:rPr>
              <w:t>用电要求，</w:t>
            </w:r>
            <w:r>
              <w:rPr>
                <w:rFonts w:hint="eastAsia"/>
                <w:color w:val="auto"/>
                <w:lang w:val="en-US" w:eastAsia="zh-CN"/>
              </w:rPr>
              <w:t>厂区内建设有一处</w:t>
            </w:r>
            <w:r>
              <w:rPr>
                <w:rFonts w:hint="eastAsia"/>
                <w:color w:val="auto"/>
              </w:rPr>
              <w:t>发电机组</w:t>
            </w:r>
            <w:r>
              <w:rPr>
                <w:rFonts w:hint="eastAsia"/>
                <w:color w:val="auto"/>
                <w:lang w:eastAsia="zh-CN"/>
              </w:rPr>
              <w:t>，</w:t>
            </w:r>
            <w:r>
              <w:rPr>
                <w:rFonts w:hint="eastAsia"/>
                <w:color w:val="auto"/>
                <w:lang w:val="en-US" w:eastAsia="zh-CN"/>
              </w:rPr>
              <w:t>配套建设一座110kV升压站</w:t>
            </w:r>
            <w:r>
              <w:rPr>
                <w:rFonts w:hint="eastAsia"/>
                <w:color w:val="auto"/>
                <w:lang w:eastAsia="zh-CN"/>
              </w:rPr>
              <w:t>；</w:t>
            </w:r>
            <w:r>
              <w:rPr>
                <w:rFonts w:hint="eastAsia"/>
                <w:color w:val="auto"/>
                <w:lang w:val="en-US" w:eastAsia="zh-CN"/>
              </w:rPr>
              <w:t>厂区内还</w:t>
            </w:r>
            <w:r>
              <w:rPr>
                <w:rFonts w:hint="eastAsia"/>
                <w:color w:val="auto"/>
              </w:rPr>
              <w:t>建设两座</w:t>
            </w:r>
            <w:r>
              <w:rPr>
                <w:rFonts w:hint="eastAsia"/>
                <w:color w:val="auto"/>
                <w:lang w:val="en-US" w:eastAsia="zh-CN"/>
              </w:rPr>
              <w:t>同时与</w:t>
            </w:r>
            <w:r>
              <w:rPr>
                <w:rFonts w:hint="eastAsia"/>
                <w:color w:val="auto"/>
              </w:rPr>
              <w:t>厂外</w:t>
            </w:r>
            <w:r>
              <w:rPr>
                <w:rFonts w:hint="eastAsia"/>
                <w:color w:val="auto"/>
                <w:lang w:val="en-US" w:eastAsia="zh-CN"/>
              </w:rPr>
              <w:t>供电</w:t>
            </w:r>
            <w:r>
              <w:rPr>
                <w:rFonts w:hint="eastAsia"/>
                <w:color w:val="auto"/>
              </w:rPr>
              <w:t>系统</w:t>
            </w:r>
            <w:r>
              <w:rPr>
                <w:rFonts w:hint="eastAsia"/>
                <w:color w:val="auto"/>
                <w:lang w:val="en-US" w:eastAsia="zh-CN"/>
              </w:rPr>
              <w:t>和升压站</w:t>
            </w:r>
            <w:r>
              <w:rPr>
                <w:rFonts w:hint="eastAsia"/>
                <w:color w:val="auto"/>
              </w:rPr>
              <w:t>发生电源联络的110kV枢纽变电站，分别是制氧轧钢110kV变电站、冶炼铁前110kV变电站，以这两座枢纽变电站为中心配电给厂区内的供电设备</w:t>
            </w:r>
            <w:r>
              <w:rPr>
                <w:rFonts w:hint="eastAsia"/>
                <w:color w:val="auto"/>
                <w:lang w:eastAsia="zh-CN"/>
              </w:rPr>
              <w:t>。</w:t>
            </w:r>
            <w:r>
              <w:rPr>
                <w:rFonts w:hint="eastAsia"/>
                <w:color w:val="auto"/>
                <w:lang w:val="en-US" w:eastAsia="zh-CN"/>
              </w:rPr>
              <w:t>同时从</w:t>
            </w:r>
            <w:r>
              <w:rPr>
                <w:rFonts w:hint="eastAsia"/>
                <w:color w:val="auto"/>
              </w:rPr>
              <w:t>冶炼铁前110kV变电站</w:t>
            </w:r>
            <w:r>
              <w:rPr>
                <w:rFonts w:hint="eastAsia"/>
                <w:color w:val="auto"/>
                <w:lang w:val="en-US" w:eastAsia="zh-CN"/>
              </w:rPr>
              <w:t>GIS出线三个间隔，通过电缆接入至</w:t>
            </w:r>
            <w:r>
              <w:rPr>
                <w:rFonts w:hint="eastAsia"/>
                <w:color w:val="auto"/>
              </w:rPr>
              <w:t>炼铁鼓风110kV变电站</w:t>
            </w:r>
            <w:r>
              <w:rPr>
                <w:rFonts w:hint="eastAsia"/>
                <w:color w:val="auto"/>
                <w:lang w:eastAsia="zh-CN"/>
              </w:rPr>
              <w:t>，</w:t>
            </w:r>
            <w:r>
              <w:rPr>
                <w:rFonts w:hint="eastAsia"/>
                <w:color w:val="auto"/>
                <w:lang w:val="en-US" w:eastAsia="zh-CN"/>
              </w:rPr>
              <w:t>给炼铁区高炉鼓风系统供电。</w:t>
            </w:r>
            <w:r>
              <w:rPr>
                <w:rFonts w:hint="eastAsia"/>
                <w:color w:val="auto"/>
              </w:rPr>
              <w:t>本报告表</w:t>
            </w:r>
            <w:r>
              <w:rPr>
                <w:rFonts w:hint="eastAsia"/>
                <w:color w:val="auto"/>
                <w:lang w:val="en-US" w:eastAsia="zh-CN"/>
              </w:rPr>
              <w:t>对其中炼铁鼓风110kV变电站和110kV鼓风I线、110kV鼓风II线和110kV鼓风III线进行环境影响评价。</w:t>
            </w:r>
          </w:p>
          <w:p>
            <w:pPr>
              <w:pStyle w:val="80"/>
              <w:spacing w:line="360" w:lineRule="auto"/>
              <w:rPr>
                <w:rFonts w:hint="eastAsia"/>
                <w:color w:val="auto"/>
                <w:lang w:val="en-US" w:eastAsia="zh-CN"/>
              </w:rPr>
            </w:pPr>
          </w:p>
          <w:p>
            <w:pPr>
              <w:pStyle w:val="80"/>
              <w:spacing w:line="360" w:lineRule="auto"/>
              <w:rPr>
                <w:color w:val="auto"/>
              </w:rPr>
            </w:pPr>
            <w:r>
              <w:rPr>
                <w:rFonts w:hint="eastAsia"/>
                <w:color w:val="auto"/>
              </w:rPr>
              <w:t>制氧轧钢110kV变电站</w:t>
            </w:r>
            <w:r>
              <w:rPr>
                <w:rFonts w:hint="eastAsia"/>
                <w:color w:val="auto"/>
                <w:lang w:val="en-US" w:eastAsia="zh-CN"/>
              </w:rPr>
              <w:t>和</w:t>
            </w:r>
            <w:r>
              <w:rPr>
                <w:rFonts w:hint="eastAsia"/>
                <w:color w:val="auto"/>
              </w:rPr>
              <w:t>冶炼铁前110kV变电站作为厂区发电机组的主要电力用户</w:t>
            </w:r>
            <w:r>
              <w:rPr>
                <w:rFonts w:hint="eastAsia"/>
                <w:color w:val="auto"/>
                <w:lang w:eastAsia="zh-CN"/>
              </w:rPr>
              <w:t>，</w:t>
            </w:r>
            <w:r>
              <w:rPr>
                <w:rFonts w:hint="eastAsia"/>
                <w:color w:val="auto"/>
                <w:lang w:val="en-US" w:eastAsia="zh-CN"/>
              </w:rPr>
              <w:t>通过升压站110kV出线相连分别与以上两个变电站相连</w:t>
            </w:r>
            <w:r>
              <w:rPr>
                <w:rFonts w:hint="eastAsia"/>
                <w:color w:val="auto"/>
              </w:rPr>
              <w:t>，在不出现功率倒送的情况下，厂区发电机组尽量供电给本区域的用电负荷</w:t>
            </w:r>
            <w:r>
              <w:rPr>
                <w:rFonts w:hint="eastAsia"/>
                <w:color w:val="auto"/>
                <w:lang w:eastAsia="zh-CN"/>
              </w:rPr>
              <w:t>；</w:t>
            </w:r>
            <w:r>
              <w:rPr>
                <w:rFonts w:hint="eastAsia"/>
                <w:color w:val="auto"/>
                <w:lang w:val="en-US" w:eastAsia="zh-CN"/>
              </w:rPr>
              <w:t>在发电机组电力无法满足用电需求的特殊情况下，通过</w:t>
            </w:r>
            <w:r>
              <w:rPr>
                <w:rFonts w:hint="eastAsia"/>
                <w:color w:val="auto"/>
              </w:rPr>
              <w:t>厂外</w:t>
            </w:r>
            <w:r>
              <w:rPr>
                <w:rFonts w:hint="eastAsia"/>
                <w:color w:val="auto"/>
                <w:lang w:val="en-US" w:eastAsia="zh-CN"/>
              </w:rPr>
              <w:t>供电</w:t>
            </w:r>
            <w:r>
              <w:rPr>
                <w:rFonts w:hint="eastAsia"/>
                <w:color w:val="auto"/>
              </w:rPr>
              <w:t>系统</w:t>
            </w:r>
            <w:r>
              <w:rPr>
                <w:rFonts w:hint="eastAsia"/>
                <w:color w:val="auto"/>
                <w:lang w:val="en-US" w:eastAsia="zh-CN"/>
              </w:rPr>
              <w:t>给两座枢纽站供电，</w:t>
            </w:r>
            <w:r>
              <w:rPr>
                <w:rFonts w:hint="eastAsia"/>
                <w:color w:val="auto"/>
              </w:rPr>
              <w:t>以保证</w:t>
            </w:r>
            <w:r>
              <w:rPr>
                <w:rFonts w:hint="eastAsia"/>
                <w:color w:val="auto"/>
                <w:lang w:val="en-US" w:eastAsia="zh-CN"/>
              </w:rPr>
              <w:t>供电系统的稳定和</w:t>
            </w:r>
            <w:r>
              <w:rPr>
                <w:rFonts w:hint="eastAsia"/>
                <w:color w:val="auto"/>
              </w:rPr>
              <w:t>发电机组发电的经济效益最大化</w:t>
            </w:r>
            <w:r>
              <w:rPr>
                <w:rFonts w:hint="eastAsia"/>
                <w:color w:val="auto"/>
                <w:lang w:eastAsia="zh-CN"/>
              </w:rPr>
              <w:t>。</w:t>
            </w:r>
          </w:p>
          <w:p>
            <w:pPr>
              <w:pStyle w:val="80"/>
              <w:spacing w:line="360" w:lineRule="auto"/>
              <w:rPr>
                <w:rFonts w:hint="eastAsia"/>
                <w:color w:val="auto"/>
              </w:rPr>
            </w:pPr>
            <w:r>
              <w:rPr>
                <w:rFonts w:hint="eastAsia"/>
                <w:color w:val="auto"/>
              </w:rPr>
              <w:t>炼铁鼓风110kV变电站</w:t>
            </w:r>
            <w:r>
              <w:rPr>
                <w:rFonts w:hint="eastAsia"/>
                <w:color w:val="auto"/>
                <w:lang w:val="en-US" w:eastAsia="zh-CN"/>
              </w:rPr>
              <w:t>及配套110kV线路</w:t>
            </w:r>
            <w:r>
              <w:rPr>
                <w:rFonts w:hint="eastAsia"/>
                <w:color w:val="auto"/>
              </w:rPr>
              <w:t>于2015年投入运行，未开展环境影响评价。</w:t>
            </w:r>
            <w:r>
              <w:rPr>
                <w:rFonts w:hint="eastAsia"/>
                <w:bCs/>
                <w:color w:val="auto"/>
              </w:rPr>
              <w:t>2018年12月29日，青岛市环境保护局下发了《青岛市环境保护局关于青岛特殊钢铁有限公司城市钢厂环保搬迁项目环境监察意见</w:t>
            </w:r>
            <w:r>
              <w:rPr>
                <w:rFonts w:hint="eastAsia"/>
                <w:bCs/>
                <w:color w:val="auto"/>
                <w:lang w:val="en-US" w:eastAsia="zh-CN"/>
              </w:rPr>
              <w:t>的函</w:t>
            </w:r>
            <w:r>
              <w:rPr>
                <w:rFonts w:hint="eastAsia"/>
                <w:bCs/>
                <w:color w:val="auto"/>
              </w:rPr>
              <w:t>》（青环</w:t>
            </w:r>
            <w:r>
              <w:rPr>
                <w:rFonts w:hint="eastAsia"/>
                <w:bCs/>
                <w:color w:val="auto"/>
                <w:lang w:val="en-US" w:eastAsia="zh-CN"/>
              </w:rPr>
              <w:t>函</w:t>
            </w:r>
            <w:r>
              <w:rPr>
                <w:rFonts w:hint="eastAsia"/>
                <w:bCs/>
                <w:color w:val="auto"/>
              </w:rPr>
              <w:t>[</w:t>
            </w:r>
            <w:r>
              <w:rPr>
                <w:bCs/>
                <w:color w:val="auto"/>
              </w:rPr>
              <w:t>2018]</w:t>
            </w:r>
            <w:r>
              <w:rPr>
                <w:rFonts w:hint="eastAsia"/>
                <w:bCs/>
                <w:color w:val="auto"/>
              </w:rPr>
              <w:t>56号，见附件2），</w:t>
            </w:r>
            <w:r>
              <w:rPr>
                <w:rFonts w:hint="eastAsia"/>
                <w:bCs/>
                <w:color w:val="auto"/>
                <w:lang w:val="en-US" w:eastAsia="zh-CN"/>
              </w:rPr>
              <w:t>要求</w:t>
            </w:r>
            <w:r>
              <w:rPr>
                <w:rFonts w:hint="eastAsia"/>
                <w:color w:val="auto"/>
              </w:rPr>
              <w:t>青岛特钢</w:t>
            </w:r>
            <w:r>
              <w:rPr>
                <w:rFonts w:hint="eastAsia"/>
                <w:bCs/>
                <w:color w:val="auto"/>
              </w:rPr>
              <w:t>应依法开展110</w:t>
            </w:r>
            <w:r>
              <w:rPr>
                <w:bCs/>
                <w:color w:val="auto"/>
              </w:rPr>
              <w:t>kV</w:t>
            </w:r>
            <w:r>
              <w:rPr>
                <w:rFonts w:hint="eastAsia"/>
                <w:bCs/>
                <w:color w:val="auto"/>
              </w:rPr>
              <w:t>变电站的辐射环境影响评价，于2019年6月前完成审批、验收。</w:t>
            </w:r>
            <w:r>
              <w:rPr>
                <w:rFonts w:hint="eastAsia"/>
                <w:color w:val="auto"/>
              </w:rPr>
              <w:t>青岛特殊钢铁有限公司为完善环保手续，根据《中华人民共和国环境影响评价法》（中华人民共和国主席令第24号，2018年12月29日修正）、《建设项目环境保护管理条例》（国务院令第682号，2017年10月1日）等有关法律法规，委托我单位对该项目进行环境影响评价，接受委托后，在进行现场调查与核实、</w:t>
            </w:r>
            <w:r>
              <w:rPr>
                <w:rFonts w:hint="eastAsia"/>
                <w:color w:val="auto"/>
                <w:lang w:val="en-US" w:eastAsia="zh-CN"/>
              </w:rPr>
              <w:t>现状检测</w:t>
            </w:r>
            <w:r>
              <w:rPr>
                <w:rFonts w:hint="eastAsia"/>
                <w:color w:val="auto"/>
              </w:rPr>
              <w:t>、工程分析</w:t>
            </w:r>
            <w:r>
              <w:rPr>
                <w:rFonts w:hint="eastAsia"/>
                <w:color w:val="auto"/>
                <w:lang w:val="en-US" w:eastAsia="zh-CN"/>
              </w:rPr>
              <w:t>和查阅相关资料</w:t>
            </w:r>
            <w:r>
              <w:rPr>
                <w:rFonts w:hint="eastAsia"/>
                <w:color w:val="auto"/>
              </w:rPr>
              <w:t>等基础上，我单位于2019年</w:t>
            </w:r>
            <w:r>
              <w:rPr>
                <w:rFonts w:hint="eastAsia"/>
                <w:color w:val="auto"/>
                <w:lang w:val="en-US" w:eastAsia="zh-CN"/>
              </w:rPr>
              <w:t>3</w:t>
            </w:r>
            <w:r>
              <w:rPr>
                <w:rFonts w:hint="eastAsia"/>
                <w:color w:val="auto"/>
              </w:rPr>
              <w:t>月编制完成《青岛特钢炼铁鼓风110kV变配电站工程环境影响报告表（</w:t>
            </w:r>
            <w:r>
              <w:rPr>
                <w:rFonts w:hint="eastAsia"/>
                <w:color w:val="auto"/>
                <w:lang w:val="en-US" w:eastAsia="zh-CN"/>
              </w:rPr>
              <w:t>送审</w:t>
            </w:r>
            <w:r>
              <w:rPr>
                <w:rFonts w:hint="eastAsia"/>
                <w:color w:val="auto"/>
              </w:rPr>
              <w:t>版）》。</w:t>
            </w:r>
          </w:p>
          <w:p>
            <w:pPr>
              <w:pStyle w:val="80"/>
              <w:spacing w:line="360" w:lineRule="auto"/>
              <w:rPr>
                <w:rFonts w:hint="eastAsia" w:eastAsia="宋体"/>
                <w:color w:val="auto"/>
                <w:lang w:eastAsia="zh-CN"/>
              </w:rPr>
            </w:pPr>
            <w:r>
              <w:rPr>
                <w:rFonts w:hint="eastAsia" w:ascii="宋体" w:hAnsi="宋体"/>
                <w:color w:val="auto"/>
                <w:sz w:val="24"/>
                <w:lang w:val="en-US" w:eastAsia="zh-CN"/>
              </w:rPr>
              <w:t xml:space="preserve"> 2019年4月，青岛市环境工程评估中心（以下简称“评估中心”）对</w:t>
            </w:r>
            <w:r>
              <w:rPr>
                <w:rFonts w:hint="eastAsia"/>
                <w:color w:val="auto"/>
              </w:rPr>
              <w:t>《青岛特钢炼铁鼓风110kV变配电站工程环境影响报告表（</w:t>
            </w:r>
            <w:r>
              <w:rPr>
                <w:rFonts w:hint="eastAsia"/>
                <w:color w:val="auto"/>
                <w:lang w:val="en-US" w:eastAsia="zh-CN"/>
              </w:rPr>
              <w:t>送审</w:t>
            </w:r>
            <w:r>
              <w:rPr>
                <w:rFonts w:hint="eastAsia"/>
                <w:color w:val="auto"/>
              </w:rPr>
              <w:t>版）》</w:t>
            </w:r>
            <w:r>
              <w:rPr>
                <w:rFonts w:hint="eastAsia"/>
                <w:color w:val="auto"/>
                <w:lang w:val="en-US" w:eastAsia="zh-CN"/>
              </w:rPr>
              <w:t>进行了评估，</w:t>
            </w:r>
            <w:r>
              <w:rPr>
                <w:rFonts w:hint="eastAsia" w:ascii="宋体" w:hAnsi="宋体"/>
                <w:color w:val="auto"/>
                <w:sz w:val="24"/>
                <w:lang w:val="en-US" w:eastAsia="zh-CN"/>
              </w:rPr>
              <w:t>根据评估中心意见，我单位</w:t>
            </w:r>
            <w:r>
              <w:rPr>
                <w:rFonts w:hint="eastAsia" w:ascii="宋体" w:hAnsi="宋体"/>
                <w:color w:val="auto"/>
                <w:sz w:val="24"/>
                <w:lang w:eastAsia="zh-CN"/>
              </w:rPr>
              <w:t>于</w:t>
            </w:r>
            <w:r>
              <w:rPr>
                <w:rFonts w:hint="eastAsia" w:ascii="宋体" w:hAnsi="宋体"/>
                <w:color w:val="auto"/>
                <w:sz w:val="24"/>
                <w:lang w:val="en-US" w:eastAsia="zh-CN"/>
              </w:rPr>
              <w:t>2019年4月修改完成了</w:t>
            </w:r>
            <w:r>
              <w:rPr>
                <w:rFonts w:hint="eastAsia"/>
                <w:color w:val="auto"/>
              </w:rPr>
              <w:t>《青岛特钢炼铁鼓风110kV变配电站工程环境影响报告表（</w:t>
            </w:r>
            <w:r>
              <w:rPr>
                <w:rFonts w:hint="eastAsia"/>
                <w:color w:val="auto"/>
                <w:lang w:val="en-US" w:eastAsia="zh-CN"/>
              </w:rPr>
              <w:t>报批</w:t>
            </w:r>
            <w:r>
              <w:rPr>
                <w:rFonts w:hint="eastAsia"/>
                <w:color w:val="auto"/>
              </w:rPr>
              <w:t>版）》</w:t>
            </w:r>
            <w:r>
              <w:rPr>
                <w:rFonts w:hint="eastAsia"/>
                <w:color w:val="auto"/>
                <w:lang w:eastAsia="zh-CN"/>
              </w:rPr>
              <w:t>。</w:t>
            </w:r>
          </w:p>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1.2 </w:t>
            </w:r>
            <w:r>
              <w:rPr>
                <w:rFonts w:hint="eastAsia" w:ascii="黑体" w:eastAsia="黑体"/>
                <w:snapToGrid w:val="0"/>
                <w:kern w:val="0"/>
                <w:sz w:val="28"/>
                <w:szCs w:val="28"/>
              </w:rPr>
              <w:t>工程规模</w:t>
            </w:r>
          </w:p>
          <w:p>
            <w:pPr>
              <w:tabs>
                <w:tab w:val="left" w:pos="8978"/>
              </w:tabs>
              <w:adjustRightInd w:val="0"/>
              <w:spacing w:line="360" w:lineRule="auto"/>
              <w:ind w:firstLine="480" w:firstLineChars="200"/>
              <w:rPr>
                <w:rFonts w:hint="eastAsia" w:ascii="宋体" w:hAnsi="宋体"/>
                <w:sz w:val="24"/>
              </w:rPr>
            </w:pPr>
            <w:bookmarkStart w:id="0" w:name="_Hlk2151621"/>
            <w:r>
              <w:rPr>
                <w:rFonts w:hint="eastAsia" w:ascii="宋体" w:hAnsi="宋体"/>
                <w:sz w:val="24"/>
              </w:rPr>
              <w:t>炼铁鼓风110kV变电站为已建成变电站，</w:t>
            </w:r>
            <w:bookmarkEnd w:id="0"/>
            <w:r>
              <w:rPr>
                <w:rFonts w:hint="eastAsia" w:ascii="宋体" w:hAnsi="宋体"/>
                <w:sz w:val="24"/>
              </w:rPr>
              <w:t>站内目前安装</w:t>
            </w:r>
            <w:r>
              <w:rPr>
                <w:rFonts w:hint="eastAsia" w:ascii="宋体" w:hAnsi="宋体"/>
                <w:sz w:val="24"/>
                <w:lang w:val="en-US" w:eastAsia="zh-CN"/>
              </w:rPr>
              <w:t>31.5</w:t>
            </w:r>
            <w:r>
              <w:rPr>
                <w:rFonts w:hint="eastAsia" w:ascii="宋体" w:hAnsi="宋体"/>
                <w:sz w:val="24"/>
              </w:rPr>
              <w:t>MVA主变</w:t>
            </w:r>
            <w:r>
              <w:rPr>
                <w:rFonts w:hint="eastAsia" w:ascii="宋体" w:hAnsi="宋体"/>
                <w:sz w:val="24"/>
                <w:lang w:val="en-US" w:eastAsia="zh-CN"/>
              </w:rPr>
              <w:t>3</w:t>
            </w:r>
            <w:r>
              <w:rPr>
                <w:rFonts w:hint="eastAsia" w:ascii="宋体" w:hAnsi="宋体"/>
                <w:sz w:val="24"/>
              </w:rPr>
              <w:t>台，电压等级为110/10.5kV，总体布置方式为主变压器户外布置，</w:t>
            </w:r>
            <w:r>
              <w:rPr>
                <w:rFonts w:hint="eastAsia" w:ascii="宋体" w:hAnsi="宋体"/>
                <w:sz w:val="24"/>
                <w:lang w:eastAsia="zh-CN"/>
              </w:rPr>
              <w:t>（</w:t>
            </w:r>
            <w:r>
              <w:rPr>
                <w:rFonts w:hint="eastAsia" w:ascii="宋体" w:hAnsi="宋体"/>
                <w:sz w:val="24"/>
              </w:rPr>
              <w:t>110kV配电装置为户内GIS</w:t>
            </w:r>
            <w:r>
              <w:rPr>
                <w:rFonts w:hint="eastAsia" w:ascii="宋体" w:hAnsi="宋体"/>
                <w:sz w:val="24"/>
                <w:lang w:val="en-US" w:eastAsia="zh-CN"/>
              </w:rPr>
              <w:t>位于</w:t>
            </w:r>
            <w:r>
              <w:rPr>
                <w:rFonts w:hint="eastAsia" w:ascii="宋体" w:hAnsi="宋体"/>
                <w:sz w:val="24"/>
              </w:rPr>
              <w:t>冶炼铁前110kV变电站</w:t>
            </w:r>
            <w:r>
              <w:rPr>
                <w:rFonts w:hint="eastAsia" w:ascii="宋体" w:hAnsi="宋体"/>
                <w:sz w:val="24"/>
                <w:lang w:val="en-US" w:eastAsia="zh-CN"/>
              </w:rPr>
              <w:t>内，本工程不评价</w:t>
            </w:r>
            <w:r>
              <w:rPr>
                <w:rFonts w:hint="eastAsia" w:ascii="宋体" w:hAnsi="宋体"/>
                <w:sz w:val="24"/>
                <w:lang w:eastAsia="zh-CN"/>
              </w:rPr>
              <w:t>）</w:t>
            </w:r>
            <w:r>
              <w:rPr>
                <w:rFonts w:hint="eastAsia" w:ascii="宋体" w:hAnsi="宋体"/>
                <w:sz w:val="24"/>
              </w:rPr>
              <w:t>，10kV配电装置户内布置。</w:t>
            </w:r>
          </w:p>
          <w:p>
            <w:pPr>
              <w:tabs>
                <w:tab w:val="left" w:pos="8978"/>
              </w:tabs>
              <w:adjustRightInd w:val="0"/>
              <w:spacing w:line="360" w:lineRule="auto"/>
              <w:ind w:firstLine="480" w:firstLineChars="200"/>
              <w:rPr>
                <w:rFonts w:ascii="宋体" w:hAnsi="宋体"/>
                <w:sz w:val="24"/>
              </w:rPr>
            </w:pPr>
            <w:r>
              <w:rPr>
                <w:rFonts w:hint="eastAsia" w:ascii="宋体" w:hAnsi="宋体"/>
                <w:sz w:val="24"/>
                <w:lang w:val="en-US" w:eastAsia="zh-CN"/>
              </w:rPr>
              <w:t>3回</w:t>
            </w:r>
            <w:r>
              <w:rPr>
                <w:rFonts w:hint="eastAsia" w:ascii="宋体" w:hAnsi="宋体"/>
                <w:sz w:val="24"/>
              </w:rPr>
              <w:t>110kV</w:t>
            </w:r>
            <w:r>
              <w:rPr>
                <w:rFonts w:hint="eastAsia" w:ascii="宋体" w:hAnsi="宋体"/>
                <w:sz w:val="24"/>
                <w:lang w:val="en-US" w:eastAsia="zh-CN"/>
              </w:rPr>
              <w:t>线路自</w:t>
            </w:r>
            <w:r>
              <w:rPr>
                <w:rFonts w:hint="eastAsia" w:ascii="宋体" w:hAnsi="宋体"/>
                <w:sz w:val="24"/>
              </w:rPr>
              <w:t>冶炼铁前110kV变电站</w:t>
            </w:r>
            <w:r>
              <w:rPr>
                <w:rFonts w:hint="eastAsia" w:ascii="宋体" w:hAnsi="宋体"/>
                <w:sz w:val="24"/>
                <w:lang w:val="en-US" w:eastAsia="zh-CN"/>
              </w:rPr>
              <w:t>GIS端出线后直接分别接入</w:t>
            </w:r>
            <w:r>
              <w:rPr>
                <w:rFonts w:hint="eastAsia" w:ascii="宋体" w:hAnsi="宋体"/>
                <w:sz w:val="24"/>
              </w:rPr>
              <w:t>炼铁鼓风110kV变配电站</w:t>
            </w:r>
            <w:r>
              <w:rPr>
                <w:rFonts w:hint="eastAsia" w:ascii="宋体" w:hAnsi="宋体"/>
                <w:sz w:val="24"/>
                <w:lang w:val="en-US" w:eastAsia="zh-CN"/>
              </w:rPr>
              <w:t>三台主变</w:t>
            </w:r>
            <w:r>
              <w:rPr>
                <w:rFonts w:hint="eastAsia" w:ascii="宋体" w:hAnsi="宋体"/>
                <w:sz w:val="24"/>
              </w:rPr>
              <w:t>。</w:t>
            </w:r>
          </w:p>
          <w:p>
            <w:pPr>
              <w:tabs>
                <w:tab w:val="left" w:pos="8978"/>
              </w:tabs>
              <w:adjustRightInd w:val="0"/>
              <w:spacing w:line="360" w:lineRule="auto"/>
              <w:ind w:firstLine="480" w:firstLineChars="200"/>
              <w:rPr>
                <w:rFonts w:ascii="宋体" w:hAnsi="宋体"/>
                <w:sz w:val="24"/>
              </w:rPr>
            </w:pPr>
            <w:r>
              <w:rPr>
                <w:rFonts w:hint="eastAsia" w:ascii="宋体" w:hAnsi="宋体"/>
                <w:sz w:val="24"/>
              </w:rPr>
              <w:t>10kV系统采用单母线分段接线，馈出给</w:t>
            </w:r>
            <w:r>
              <w:rPr>
                <w:rFonts w:hint="eastAsia" w:ascii="宋体" w:hAnsi="宋体"/>
                <w:sz w:val="24"/>
                <w:lang w:val="en-US" w:eastAsia="zh-CN"/>
              </w:rPr>
              <w:t>炼铁区高炉鼓风系统供电</w:t>
            </w:r>
            <w:r>
              <w:rPr>
                <w:rFonts w:hint="eastAsia" w:ascii="宋体" w:hAnsi="宋体"/>
                <w:sz w:val="24"/>
              </w:rPr>
              <w:t>。</w:t>
            </w:r>
          </w:p>
          <w:p>
            <w:pPr>
              <w:pStyle w:val="80"/>
              <w:spacing w:line="360" w:lineRule="auto"/>
              <w:rPr>
                <w:color w:val="auto"/>
              </w:rPr>
            </w:pPr>
            <w:r>
              <w:rPr>
                <w:rFonts w:hint="eastAsia"/>
                <w:color w:val="auto"/>
              </w:rPr>
              <w:t>本工程建设内容详见表1-1。</w:t>
            </w:r>
          </w:p>
          <w:p>
            <w:pPr>
              <w:adjustRightInd w:val="0"/>
              <w:spacing w:before="156" w:beforeLines="50" w:after="93" w:afterLines="30" w:line="360" w:lineRule="exact"/>
              <w:jc w:val="center"/>
              <w:rPr>
                <w:rFonts w:hint="eastAsia" w:ascii="黑体" w:eastAsia="黑体"/>
                <w:snapToGrid w:val="0"/>
                <w:kern w:val="0"/>
                <w:sz w:val="24"/>
              </w:rPr>
            </w:pPr>
          </w:p>
          <w:p>
            <w:pPr>
              <w:adjustRightInd w:val="0"/>
              <w:spacing w:before="156" w:beforeLines="50" w:after="93" w:afterLines="30" w:line="360" w:lineRule="exact"/>
              <w:jc w:val="center"/>
              <w:rPr>
                <w:rFonts w:hint="eastAsia" w:ascii="黑体" w:eastAsia="黑体"/>
                <w:snapToGrid w:val="0"/>
                <w:kern w:val="0"/>
                <w:sz w:val="24"/>
              </w:rPr>
            </w:pPr>
          </w:p>
          <w:p>
            <w:pPr>
              <w:adjustRightInd w:val="0"/>
              <w:spacing w:before="156" w:beforeLines="50" w:after="93" w:afterLines="30" w:line="360" w:lineRule="exact"/>
              <w:jc w:val="center"/>
              <w:rPr>
                <w:rFonts w:hint="eastAsia" w:ascii="黑体" w:eastAsia="黑体"/>
                <w:snapToGrid w:val="0"/>
                <w:kern w:val="0"/>
                <w:sz w:val="24"/>
              </w:rPr>
            </w:pPr>
          </w:p>
          <w:p>
            <w:pPr>
              <w:adjustRightInd w:val="0"/>
              <w:spacing w:before="156" w:beforeLines="50" w:after="93" w:afterLines="30" w:line="360" w:lineRule="exact"/>
              <w:jc w:val="center"/>
              <w:rPr>
                <w:rFonts w:ascii="黑体" w:eastAsia="黑体"/>
                <w:snapToGrid w:val="0"/>
                <w:kern w:val="0"/>
                <w:sz w:val="24"/>
              </w:rPr>
            </w:pPr>
            <w:r>
              <w:rPr>
                <w:rFonts w:hint="eastAsia" w:ascii="黑体" w:eastAsia="黑体"/>
                <w:snapToGrid w:val="0"/>
                <w:kern w:val="0"/>
                <w:sz w:val="24"/>
              </w:rPr>
              <w:t>表</w:t>
            </w:r>
            <w:r>
              <w:rPr>
                <w:rFonts w:ascii="黑体" w:eastAsia="黑体"/>
                <w:snapToGrid w:val="0"/>
                <w:kern w:val="0"/>
                <w:sz w:val="24"/>
              </w:rPr>
              <w:t xml:space="preserve">1-1  </w:t>
            </w:r>
            <w:r>
              <w:rPr>
                <w:rFonts w:hint="eastAsia" w:ascii="黑体" w:eastAsia="黑体"/>
                <w:snapToGrid w:val="0"/>
                <w:kern w:val="0"/>
                <w:sz w:val="24"/>
              </w:rPr>
              <w:t>工程建设内容表</w:t>
            </w:r>
          </w:p>
          <w:tbl>
            <w:tblPr>
              <w:tblStyle w:val="22"/>
              <w:tblW w:w="970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6"/>
              <w:gridCol w:w="1563"/>
              <w:gridCol w:w="59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9" w:hRule="atLeast"/>
                <w:jc w:val="center"/>
              </w:trPr>
              <w:tc>
                <w:tcPr>
                  <w:tcW w:w="3789" w:type="dxa"/>
                  <w:gridSpan w:val="2"/>
                  <w:tcBorders>
                    <w:top w:val="single" w:color="auto" w:sz="4" w:space="0"/>
                    <w:left w:val="single" w:color="auto" w:sz="4" w:space="0"/>
                    <w:bottom w:val="single" w:color="auto" w:sz="4" w:space="0"/>
                    <w:right w:val="single" w:color="auto" w:sz="4" w:space="0"/>
                  </w:tcBorders>
                  <w:vAlign w:val="center"/>
                </w:tcPr>
                <w:p>
                  <w:pPr>
                    <w:pStyle w:val="103"/>
                    <w:spacing w:line="360" w:lineRule="exact"/>
                    <w:textAlignment w:val="baseline"/>
                    <w:rPr>
                      <w:rFonts w:ascii="宋体"/>
                      <w:spacing w:val="10"/>
                      <w:sz w:val="21"/>
                      <w:szCs w:val="21"/>
                    </w:rPr>
                  </w:pPr>
                  <w:r>
                    <w:rPr>
                      <w:rFonts w:hint="eastAsia" w:ascii="宋体" w:hAnsi="宋体"/>
                      <w:spacing w:val="10"/>
                      <w:sz w:val="21"/>
                      <w:szCs w:val="21"/>
                    </w:rPr>
                    <w:t>项目</w:t>
                  </w:r>
                </w:p>
              </w:tc>
              <w:tc>
                <w:tcPr>
                  <w:tcW w:w="5911" w:type="dxa"/>
                  <w:tcBorders>
                    <w:top w:val="single" w:color="auto" w:sz="4" w:space="0"/>
                    <w:left w:val="single" w:color="auto" w:sz="4" w:space="0"/>
                    <w:bottom w:val="single" w:color="auto" w:sz="4" w:space="0"/>
                    <w:right w:val="single" w:color="auto" w:sz="4" w:space="0"/>
                  </w:tcBorders>
                  <w:vAlign w:val="center"/>
                </w:tcPr>
                <w:p>
                  <w:pPr>
                    <w:pStyle w:val="103"/>
                    <w:spacing w:line="360" w:lineRule="exact"/>
                    <w:textAlignment w:val="baseline"/>
                    <w:rPr>
                      <w:rFonts w:ascii="宋体"/>
                      <w:spacing w:val="10"/>
                      <w:sz w:val="21"/>
                      <w:szCs w:val="21"/>
                    </w:rPr>
                  </w:pPr>
                  <w:r>
                    <w:rPr>
                      <w:rFonts w:hint="eastAsia" w:ascii="宋体" w:hAnsi="宋体"/>
                      <w:spacing w:val="10"/>
                      <w:sz w:val="21"/>
                      <w:szCs w:val="21"/>
                    </w:rPr>
                    <w:t>建设规模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0" w:hRule="atLeast"/>
                <w:jc w:val="center"/>
              </w:trPr>
              <w:tc>
                <w:tcPr>
                  <w:tcW w:w="2226" w:type="dxa"/>
                  <w:vMerge w:val="restart"/>
                  <w:tcBorders>
                    <w:top w:val="single" w:color="auto" w:sz="4" w:space="0"/>
                    <w:left w:val="single" w:color="auto" w:sz="4" w:space="0"/>
                    <w:right w:val="single" w:color="auto" w:sz="4" w:space="0"/>
                  </w:tcBorders>
                  <w:vAlign w:val="center"/>
                </w:tcPr>
                <w:p>
                  <w:pPr>
                    <w:pStyle w:val="103"/>
                    <w:spacing w:line="360" w:lineRule="exact"/>
                    <w:textAlignment w:val="baseline"/>
                    <w:rPr>
                      <w:rFonts w:ascii="宋体"/>
                      <w:bCs/>
                      <w:snapToGrid w:val="0"/>
                      <w:spacing w:val="10"/>
                      <w:kern w:val="0"/>
                      <w:sz w:val="21"/>
                      <w:szCs w:val="21"/>
                    </w:rPr>
                  </w:pPr>
                  <w:r>
                    <w:rPr>
                      <w:rFonts w:hint="eastAsia" w:ascii="宋体" w:hAnsi="宋体" w:eastAsia="宋体" w:cs="Times New Roman"/>
                      <w:snapToGrid w:val="0"/>
                      <w:spacing w:val="10"/>
                      <w:kern w:val="0"/>
                      <w:sz w:val="21"/>
                      <w:szCs w:val="21"/>
                      <w:lang w:val="en-US" w:eastAsia="zh-CN" w:bidi="ar-SA"/>
                    </w:rPr>
                    <w:t>炼铁鼓风110kV变电站</w:t>
                  </w:r>
                </w:p>
              </w:tc>
              <w:tc>
                <w:tcPr>
                  <w:tcW w:w="156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r>
                    <w:rPr>
                      <w:rFonts w:hint="eastAsia" w:ascii="宋体" w:hAnsi="宋体"/>
                      <w:snapToGrid w:val="0"/>
                      <w:spacing w:val="10"/>
                      <w:kern w:val="0"/>
                      <w:szCs w:val="21"/>
                    </w:rPr>
                    <w:t>主变压器</w:t>
                  </w:r>
                </w:p>
              </w:tc>
              <w:tc>
                <w:tcPr>
                  <w:tcW w:w="5911"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r>
                    <w:rPr>
                      <w:rFonts w:hint="eastAsia" w:ascii="宋体" w:hAnsi="宋体"/>
                      <w:snapToGrid w:val="0"/>
                      <w:spacing w:val="10"/>
                      <w:kern w:val="0"/>
                      <w:szCs w:val="21"/>
                      <w:lang w:val="en-US" w:eastAsia="zh-CN"/>
                    </w:rPr>
                    <w:t>3</w:t>
                  </w:r>
                  <w:r>
                    <w:rPr>
                      <w:rFonts w:hint="eastAsia" w:ascii="宋体" w:hAnsi="宋体"/>
                      <w:snapToGrid w:val="0"/>
                      <w:spacing w:val="10"/>
                      <w:kern w:val="0"/>
                      <w:szCs w:val="21"/>
                    </w:rPr>
                    <w:t>×</w:t>
                  </w:r>
                  <w:r>
                    <w:rPr>
                      <w:rFonts w:hint="eastAsia" w:ascii="宋体" w:hAnsi="宋体"/>
                      <w:snapToGrid w:val="0"/>
                      <w:spacing w:val="10"/>
                      <w:kern w:val="0"/>
                      <w:szCs w:val="21"/>
                      <w:lang w:val="en-US" w:eastAsia="zh-CN"/>
                    </w:rPr>
                    <w:t>31.5</w:t>
                  </w:r>
                  <w:r>
                    <w:rPr>
                      <w:rFonts w:hint="eastAsia" w:ascii="宋体" w:hAnsi="宋体"/>
                      <w:snapToGrid w:val="0"/>
                      <w:spacing w:val="10"/>
                      <w:kern w:val="0"/>
                      <w:szCs w:val="21"/>
                    </w:rPr>
                    <w:t>MVA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226" w:type="dxa"/>
                  <w:vMerge w:val="continue"/>
                  <w:tcBorders>
                    <w:left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p>
              </w:tc>
              <w:tc>
                <w:tcPr>
                  <w:tcW w:w="156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r>
                    <w:rPr>
                      <w:rFonts w:hint="eastAsia" w:ascii="宋体" w:hAnsi="宋体"/>
                      <w:snapToGrid w:val="0"/>
                      <w:spacing w:val="10"/>
                      <w:kern w:val="0"/>
                      <w:szCs w:val="21"/>
                    </w:rPr>
                    <w:t>总体布置</w:t>
                  </w:r>
                </w:p>
              </w:tc>
              <w:tc>
                <w:tcPr>
                  <w:tcW w:w="5911" w:type="dxa"/>
                  <w:tcBorders>
                    <w:top w:val="single" w:color="auto" w:sz="4" w:space="0"/>
                    <w:left w:val="single" w:color="auto" w:sz="4" w:space="0"/>
                    <w:bottom w:val="single" w:color="auto" w:sz="4" w:space="0"/>
                    <w:right w:val="single" w:color="auto" w:sz="4" w:space="0"/>
                  </w:tcBorders>
                  <w:vAlign w:val="center"/>
                </w:tcPr>
                <w:p>
                  <w:pPr>
                    <w:adjustRightInd w:val="0"/>
                    <w:spacing w:line="240" w:lineRule="exact"/>
                    <w:jc w:val="center"/>
                    <w:textAlignment w:val="baseline"/>
                    <w:rPr>
                      <w:rFonts w:ascii="宋体" w:hAnsi="宋体"/>
                      <w:snapToGrid w:val="0"/>
                      <w:spacing w:val="10"/>
                      <w:kern w:val="0"/>
                      <w:szCs w:val="21"/>
                    </w:rPr>
                  </w:pPr>
                  <w:r>
                    <w:rPr>
                      <w:rFonts w:hint="eastAsia" w:ascii="宋体" w:hAnsi="宋体"/>
                      <w:snapToGrid w:val="0"/>
                      <w:spacing w:val="10"/>
                      <w:kern w:val="0"/>
                      <w:szCs w:val="21"/>
                    </w:rPr>
                    <w:t>主变压器户外布置，</w:t>
                  </w:r>
                </w:p>
                <w:p>
                  <w:pPr>
                    <w:adjustRightInd w:val="0"/>
                    <w:spacing w:line="240" w:lineRule="exact"/>
                    <w:jc w:val="center"/>
                    <w:textAlignment w:val="baseline"/>
                    <w:rPr>
                      <w:rFonts w:ascii="宋体"/>
                      <w:snapToGrid w:val="0"/>
                      <w:spacing w:val="10"/>
                      <w:kern w:val="0"/>
                      <w:szCs w:val="21"/>
                    </w:rPr>
                  </w:pPr>
                  <w:r>
                    <w:rPr>
                      <w:rFonts w:hint="eastAsia" w:ascii="宋体" w:hAnsi="宋体"/>
                      <w:snapToGrid w:val="0"/>
                      <w:spacing w:val="10"/>
                      <w:kern w:val="0"/>
                      <w:szCs w:val="21"/>
                    </w:rPr>
                    <w:t>10kV配电装置户内布置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0" w:hRule="atLeast"/>
                <w:jc w:val="center"/>
              </w:trPr>
              <w:tc>
                <w:tcPr>
                  <w:tcW w:w="2226" w:type="dxa"/>
                  <w:vMerge w:val="continue"/>
                  <w:tcBorders>
                    <w:left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p>
              </w:tc>
              <w:tc>
                <w:tcPr>
                  <w:tcW w:w="156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r>
                    <w:rPr>
                      <w:rFonts w:ascii="宋体" w:hAnsi="宋体"/>
                      <w:snapToGrid w:val="0"/>
                      <w:spacing w:val="10"/>
                      <w:kern w:val="0"/>
                      <w:szCs w:val="21"/>
                    </w:rPr>
                    <w:t>110kV</w:t>
                  </w:r>
                  <w:r>
                    <w:rPr>
                      <w:rFonts w:hint="eastAsia" w:ascii="宋体" w:hAnsi="宋体"/>
                      <w:snapToGrid w:val="0"/>
                      <w:spacing w:val="10"/>
                      <w:kern w:val="0"/>
                      <w:szCs w:val="21"/>
                    </w:rPr>
                    <w:t>进</w:t>
                  </w:r>
                  <w:r>
                    <w:rPr>
                      <w:rFonts w:hint="eastAsia" w:ascii="宋体" w:hAnsi="宋体"/>
                      <w:bCs/>
                      <w:snapToGrid w:val="0"/>
                      <w:spacing w:val="10"/>
                      <w:kern w:val="0"/>
                      <w:szCs w:val="21"/>
                    </w:rPr>
                    <w:t>线</w:t>
                  </w:r>
                </w:p>
              </w:tc>
              <w:tc>
                <w:tcPr>
                  <w:tcW w:w="5911"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r>
                    <w:rPr>
                      <w:rFonts w:hint="eastAsia" w:ascii="宋体" w:hAnsi="宋体"/>
                      <w:snapToGrid w:val="0"/>
                      <w:spacing w:val="10"/>
                      <w:kern w:val="0"/>
                      <w:szCs w:val="21"/>
                      <w:lang w:val="en-US" w:eastAsia="zh-CN"/>
                    </w:rPr>
                    <w:t>3</w:t>
                  </w:r>
                  <w:r>
                    <w:rPr>
                      <w:rFonts w:hint="eastAsia" w:ascii="宋体" w:hAnsi="宋体"/>
                      <w:snapToGrid w:val="0"/>
                      <w:spacing w:val="10"/>
                      <w:kern w:val="0"/>
                      <w:szCs w:val="21"/>
                    </w:rPr>
                    <w:t>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5" w:hRule="atLeast"/>
                <w:jc w:val="center"/>
              </w:trPr>
              <w:tc>
                <w:tcPr>
                  <w:tcW w:w="2226" w:type="dxa"/>
                  <w:vMerge w:val="restart"/>
                  <w:tcBorders>
                    <w:left w:val="single" w:color="auto" w:sz="4" w:space="0"/>
                    <w:right w:val="single" w:color="auto" w:sz="4" w:space="0"/>
                  </w:tcBorders>
                  <w:vAlign w:val="center"/>
                </w:tcPr>
                <w:p>
                  <w:pPr>
                    <w:adjustRightInd w:val="0"/>
                    <w:spacing w:line="360" w:lineRule="exact"/>
                    <w:jc w:val="center"/>
                    <w:textAlignment w:val="baseline"/>
                    <w:rPr>
                      <w:rFonts w:hint="eastAsia" w:ascii="宋体" w:hAnsi="宋体" w:cs="Times New Roman"/>
                      <w:snapToGrid w:val="0"/>
                      <w:spacing w:val="10"/>
                      <w:kern w:val="0"/>
                      <w:sz w:val="21"/>
                      <w:szCs w:val="21"/>
                      <w:lang w:val="en-US" w:eastAsia="zh-CN" w:bidi="ar-SA"/>
                    </w:rPr>
                  </w:pPr>
                  <w:r>
                    <w:rPr>
                      <w:rFonts w:hint="eastAsia" w:ascii="宋体" w:hAnsi="宋体" w:cs="Times New Roman"/>
                      <w:snapToGrid w:val="0"/>
                      <w:spacing w:val="10"/>
                      <w:kern w:val="0"/>
                      <w:sz w:val="21"/>
                      <w:szCs w:val="21"/>
                      <w:lang w:val="en-US" w:eastAsia="zh-CN" w:bidi="ar-SA"/>
                    </w:rPr>
                    <w:t>110kV</w:t>
                  </w:r>
                  <w:r>
                    <w:rPr>
                      <w:rFonts w:hint="eastAsia" w:ascii="宋体" w:hAnsi="宋体" w:eastAsia="宋体" w:cs="Times New Roman"/>
                      <w:snapToGrid w:val="0"/>
                      <w:spacing w:val="10"/>
                      <w:kern w:val="0"/>
                      <w:sz w:val="21"/>
                      <w:szCs w:val="21"/>
                      <w:lang w:val="en-US" w:eastAsia="zh-CN" w:bidi="ar-SA"/>
                    </w:rPr>
                    <w:t>鼓风</w:t>
                  </w:r>
                  <w:r>
                    <w:rPr>
                      <w:rFonts w:hint="eastAsia" w:ascii="宋体" w:hAnsi="宋体" w:cs="Times New Roman"/>
                      <w:snapToGrid w:val="0"/>
                      <w:spacing w:val="10"/>
                      <w:kern w:val="0"/>
                      <w:sz w:val="21"/>
                      <w:szCs w:val="21"/>
                      <w:lang w:val="en-US" w:eastAsia="zh-CN" w:bidi="ar-SA"/>
                    </w:rPr>
                    <w:t>I线，</w:t>
                  </w:r>
                </w:p>
                <w:p>
                  <w:pPr>
                    <w:adjustRightInd w:val="0"/>
                    <w:spacing w:line="360" w:lineRule="exact"/>
                    <w:jc w:val="center"/>
                    <w:textAlignment w:val="baseline"/>
                    <w:rPr>
                      <w:rFonts w:hint="eastAsia" w:ascii="宋体" w:hAnsi="宋体" w:cs="Times New Roman"/>
                      <w:snapToGrid w:val="0"/>
                      <w:spacing w:val="10"/>
                      <w:kern w:val="0"/>
                      <w:sz w:val="21"/>
                      <w:szCs w:val="21"/>
                      <w:lang w:val="en-US" w:eastAsia="zh-CN" w:bidi="ar-SA"/>
                    </w:rPr>
                  </w:pPr>
                  <w:r>
                    <w:rPr>
                      <w:rFonts w:hint="eastAsia" w:ascii="宋体" w:hAnsi="宋体" w:cs="Times New Roman"/>
                      <w:snapToGrid w:val="0"/>
                      <w:spacing w:val="10"/>
                      <w:kern w:val="0"/>
                      <w:sz w:val="21"/>
                      <w:szCs w:val="21"/>
                      <w:lang w:val="en-US" w:eastAsia="zh-CN" w:bidi="ar-SA"/>
                    </w:rPr>
                    <w:t>110kV</w:t>
                  </w:r>
                  <w:r>
                    <w:rPr>
                      <w:rFonts w:hint="eastAsia" w:ascii="宋体" w:hAnsi="宋体" w:eastAsia="宋体" w:cs="Times New Roman"/>
                      <w:snapToGrid w:val="0"/>
                      <w:spacing w:val="10"/>
                      <w:kern w:val="0"/>
                      <w:sz w:val="21"/>
                      <w:szCs w:val="21"/>
                      <w:lang w:val="en-US" w:eastAsia="zh-CN" w:bidi="ar-SA"/>
                    </w:rPr>
                    <w:t>鼓风</w:t>
                  </w:r>
                  <w:r>
                    <w:rPr>
                      <w:rFonts w:hint="eastAsia" w:ascii="宋体" w:hAnsi="宋体" w:cs="Times New Roman"/>
                      <w:snapToGrid w:val="0"/>
                      <w:spacing w:val="10"/>
                      <w:kern w:val="0"/>
                      <w:sz w:val="21"/>
                      <w:szCs w:val="21"/>
                      <w:lang w:val="en-US" w:eastAsia="zh-CN" w:bidi="ar-SA"/>
                    </w:rPr>
                    <w:t>II线，</w:t>
                  </w:r>
                </w:p>
                <w:p>
                  <w:pPr>
                    <w:adjustRightInd w:val="0"/>
                    <w:spacing w:line="360" w:lineRule="exact"/>
                    <w:jc w:val="center"/>
                    <w:textAlignment w:val="baseline"/>
                    <w:rPr>
                      <w:rFonts w:hint="eastAsia" w:ascii="宋体" w:hAnsi="宋体" w:cs="Times New Roman"/>
                      <w:snapToGrid w:val="0"/>
                      <w:spacing w:val="10"/>
                      <w:kern w:val="0"/>
                      <w:sz w:val="21"/>
                      <w:szCs w:val="21"/>
                      <w:lang w:val="en-US" w:eastAsia="zh-CN" w:bidi="ar-SA"/>
                    </w:rPr>
                  </w:pPr>
                  <w:r>
                    <w:rPr>
                      <w:rFonts w:hint="eastAsia" w:ascii="宋体" w:hAnsi="宋体" w:cs="Times New Roman"/>
                      <w:snapToGrid w:val="0"/>
                      <w:spacing w:val="10"/>
                      <w:kern w:val="0"/>
                      <w:sz w:val="21"/>
                      <w:szCs w:val="21"/>
                      <w:lang w:val="en-US" w:eastAsia="zh-CN" w:bidi="ar-SA"/>
                    </w:rPr>
                    <w:t>110kV</w:t>
                  </w:r>
                  <w:r>
                    <w:rPr>
                      <w:rFonts w:hint="eastAsia" w:ascii="宋体" w:hAnsi="宋体" w:eastAsia="宋体" w:cs="Times New Roman"/>
                      <w:snapToGrid w:val="0"/>
                      <w:spacing w:val="10"/>
                      <w:kern w:val="0"/>
                      <w:sz w:val="21"/>
                      <w:szCs w:val="21"/>
                      <w:lang w:val="en-US" w:eastAsia="zh-CN" w:bidi="ar-SA"/>
                    </w:rPr>
                    <w:t>鼓风</w:t>
                  </w:r>
                  <w:r>
                    <w:rPr>
                      <w:rFonts w:hint="eastAsia" w:ascii="宋体" w:hAnsi="宋体" w:cs="Times New Roman"/>
                      <w:snapToGrid w:val="0"/>
                      <w:spacing w:val="10"/>
                      <w:kern w:val="0"/>
                      <w:sz w:val="21"/>
                      <w:szCs w:val="21"/>
                      <w:lang w:val="en-US" w:eastAsia="zh-CN" w:bidi="ar-SA"/>
                    </w:rPr>
                    <w:t>III线，</w:t>
                  </w:r>
                </w:p>
              </w:tc>
              <w:tc>
                <w:tcPr>
                  <w:tcW w:w="156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zCs w:val="21"/>
                    </w:rPr>
                  </w:pPr>
                  <w:r>
                    <w:rPr>
                      <w:rFonts w:hint="eastAsia" w:ascii="宋体" w:hAnsi="宋体"/>
                      <w:szCs w:val="21"/>
                    </w:rPr>
                    <w:t>线路</w:t>
                  </w:r>
                </w:p>
              </w:tc>
              <w:tc>
                <w:tcPr>
                  <w:tcW w:w="5911"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napToGrid w:val="0"/>
                      <w:spacing w:val="10"/>
                      <w:kern w:val="0"/>
                      <w:szCs w:val="21"/>
                    </w:rPr>
                  </w:pPr>
                  <w:r>
                    <w:rPr>
                      <w:rFonts w:hint="eastAsia" w:ascii="宋体" w:hAnsi="宋体"/>
                      <w:snapToGrid w:val="0"/>
                      <w:spacing w:val="10"/>
                      <w:kern w:val="0"/>
                      <w:szCs w:val="21"/>
                    </w:rPr>
                    <w:t>空中电缆</w:t>
                  </w:r>
                  <w:r>
                    <w:rPr>
                      <w:rFonts w:hint="eastAsia" w:ascii="宋体" w:hAnsi="宋体"/>
                      <w:snapToGrid w:val="0"/>
                      <w:spacing w:val="10"/>
                      <w:kern w:val="0"/>
                      <w:szCs w:val="21"/>
                      <w:lang w:val="en-US" w:eastAsia="zh-CN"/>
                    </w:rPr>
                    <w:t>通廊</w:t>
                  </w:r>
                  <w:r>
                    <w:rPr>
                      <w:rFonts w:hint="eastAsia" w:ascii="宋体" w:hAnsi="宋体"/>
                      <w:snapToGrid w:val="0"/>
                      <w:spacing w:val="10"/>
                      <w:kern w:val="0"/>
                      <w:szCs w:val="21"/>
                    </w:rPr>
                    <w:t>,</w:t>
                  </w:r>
                  <w:r>
                    <w:rPr>
                      <w:rFonts w:hint="eastAsia" w:ascii="宋体" w:hAnsi="宋体"/>
                      <w:snapToGrid w:val="0"/>
                      <w:spacing w:val="10"/>
                      <w:kern w:val="0"/>
                      <w:szCs w:val="21"/>
                      <w:lang w:val="en-US" w:eastAsia="zh-CN"/>
                    </w:rPr>
                    <w:t>3</w:t>
                  </w:r>
                  <w:r>
                    <w:rPr>
                      <w:rFonts w:hint="eastAsia" w:ascii="宋体" w:hAnsi="宋体"/>
                      <w:snapToGrid w:val="0"/>
                      <w:spacing w:val="10"/>
                      <w:kern w:val="0"/>
                      <w:szCs w:val="21"/>
                    </w:rPr>
                    <w:t>×0.</w:t>
                  </w:r>
                  <w:r>
                    <w:rPr>
                      <w:rFonts w:hint="eastAsia" w:ascii="宋体" w:hAnsi="宋体"/>
                      <w:snapToGrid w:val="0"/>
                      <w:spacing w:val="10"/>
                      <w:kern w:val="0"/>
                      <w:szCs w:val="21"/>
                      <w:lang w:val="en-US" w:eastAsia="zh-CN"/>
                    </w:rPr>
                    <w:t>35</w:t>
                  </w:r>
                  <w:r>
                    <w:rPr>
                      <w:rFonts w:hint="eastAsia" w:ascii="宋体" w:hAnsi="宋体"/>
                      <w:snapToGrid w:val="0"/>
                      <w:spacing w:val="10"/>
                      <w:kern w:val="0"/>
                      <w:szCs w:val="21"/>
                    </w:rPr>
                    <w:t>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226" w:type="dxa"/>
                  <w:vMerge w:val="continue"/>
                  <w:tcBorders>
                    <w:left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p>
              </w:tc>
              <w:tc>
                <w:tcPr>
                  <w:tcW w:w="156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zCs w:val="21"/>
                    </w:rPr>
                  </w:pPr>
                  <w:r>
                    <w:rPr>
                      <w:rFonts w:hint="eastAsia" w:ascii="宋体" w:hAnsi="宋体"/>
                      <w:szCs w:val="21"/>
                    </w:rPr>
                    <w:t>电缆规格</w:t>
                  </w:r>
                </w:p>
              </w:tc>
              <w:tc>
                <w:tcPr>
                  <w:tcW w:w="5911"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napToGrid w:val="0"/>
                      <w:spacing w:val="10"/>
                      <w:kern w:val="0"/>
                      <w:szCs w:val="21"/>
                    </w:rPr>
                  </w:pPr>
                  <w:r>
                    <w:rPr>
                      <w:rFonts w:ascii="宋体" w:hAnsi="宋体"/>
                      <w:snapToGrid w:val="0"/>
                      <w:spacing w:val="10"/>
                      <w:kern w:val="0"/>
                      <w:szCs w:val="21"/>
                    </w:rPr>
                    <w:t>ZR-YJLW02-64/110kV</w:t>
                  </w:r>
                </w:p>
              </w:tc>
            </w:tr>
          </w:tbl>
          <w:p>
            <w:pPr>
              <w:adjustRightInd w:val="0"/>
              <w:spacing w:line="360" w:lineRule="auto"/>
              <w:ind w:firstLine="482"/>
              <w:rPr>
                <w:rFonts w:hint="eastAsia" w:ascii="宋体" w:hAnsi="宋体"/>
                <w:sz w:val="24"/>
              </w:rPr>
            </w:pPr>
            <w:r>
              <w:rPr>
                <w:rFonts w:hint="eastAsia" w:ascii="宋体" w:hAnsi="宋体"/>
                <w:sz w:val="24"/>
              </w:rPr>
              <w:t>本次环评规模：</w:t>
            </w:r>
            <w:r>
              <w:rPr>
                <w:rFonts w:hint="eastAsia" w:ascii="宋体" w:hAnsi="宋体"/>
                <w:sz w:val="24"/>
                <w:lang w:val="en-US" w:eastAsia="zh-CN"/>
              </w:rPr>
              <w:t>炼铁鼓风110kV变电站</w:t>
            </w:r>
            <w:r>
              <w:rPr>
                <w:rFonts w:hint="eastAsia" w:ascii="宋体" w:hAnsi="宋体"/>
                <w:sz w:val="24"/>
              </w:rPr>
              <w:t xml:space="preserve">、 </w:t>
            </w:r>
            <w:r>
              <w:rPr>
                <w:rFonts w:hint="eastAsia" w:ascii="宋体" w:hAnsi="宋体"/>
                <w:sz w:val="24"/>
                <w:lang w:val="en-US" w:eastAsia="zh-CN"/>
              </w:rPr>
              <w:t>110kV鼓风I线</w:t>
            </w:r>
            <w:r>
              <w:rPr>
                <w:rFonts w:hint="eastAsia" w:ascii="宋体" w:hAnsi="宋体"/>
                <w:sz w:val="24"/>
              </w:rPr>
              <w:t>、</w:t>
            </w:r>
            <w:r>
              <w:rPr>
                <w:rFonts w:hint="eastAsia" w:ascii="宋体" w:hAnsi="宋体"/>
                <w:sz w:val="24"/>
                <w:lang w:val="en-US" w:eastAsia="zh-CN"/>
              </w:rPr>
              <w:t>110kV鼓风II线和110kV鼓风III线。</w:t>
            </w:r>
          </w:p>
          <w:p>
            <w:pPr>
              <w:adjustRightInd w:val="0"/>
              <w:spacing w:line="360" w:lineRule="auto"/>
              <w:rPr>
                <w:rFonts w:hint="eastAsia" w:ascii="宋体" w:hAnsi="宋体"/>
                <w:bCs/>
                <w:sz w:val="24"/>
              </w:rPr>
            </w:pPr>
            <w:r>
              <w:rPr>
                <w:rFonts w:ascii="黑体" w:eastAsia="黑体"/>
                <w:snapToGrid w:val="0"/>
                <w:kern w:val="0"/>
                <w:sz w:val="28"/>
                <w:szCs w:val="28"/>
              </w:rPr>
              <w:t xml:space="preserve">1.3 </w:t>
            </w:r>
            <w:r>
              <w:rPr>
                <w:rFonts w:hint="eastAsia" w:ascii="黑体" w:eastAsia="黑体"/>
                <w:snapToGrid w:val="0"/>
                <w:kern w:val="0"/>
                <w:sz w:val="28"/>
                <w:szCs w:val="28"/>
              </w:rPr>
              <w:t>工程概况</w:t>
            </w:r>
          </w:p>
          <w:p>
            <w:pPr>
              <w:adjustRightInd w:val="0"/>
              <w:spacing w:line="360" w:lineRule="auto"/>
              <w:ind w:firstLine="480" w:firstLineChars="200"/>
              <w:rPr>
                <w:rFonts w:ascii="宋体"/>
                <w:snapToGrid w:val="0"/>
                <w:kern w:val="0"/>
                <w:sz w:val="24"/>
              </w:rPr>
            </w:pPr>
            <w:r>
              <w:rPr>
                <w:rFonts w:hint="eastAsia" w:ascii="宋体" w:hAnsi="宋体"/>
                <w:snapToGrid w:val="0"/>
                <w:kern w:val="0"/>
                <w:sz w:val="24"/>
              </w:rPr>
              <w:t>1.3.1变电站概况</w:t>
            </w:r>
          </w:p>
          <w:p>
            <w:pPr>
              <w:adjustRightInd w:val="0"/>
              <w:spacing w:line="360" w:lineRule="auto"/>
              <w:ind w:firstLine="482"/>
              <w:rPr>
                <w:rFonts w:hint="eastAsia" w:ascii="宋体" w:hAnsi="宋体"/>
                <w:sz w:val="24"/>
                <w:lang w:val="en-US" w:eastAsia="zh-CN"/>
              </w:rPr>
            </w:pPr>
            <w:r>
              <w:rPr>
                <w:rFonts w:hint="eastAsia" w:ascii="宋体" w:hAnsi="宋体"/>
                <w:sz w:val="24"/>
                <w:lang w:val="en-US" w:eastAsia="zh-CN"/>
              </w:rPr>
              <w:t>炼铁鼓风110kV变电站</w:t>
            </w:r>
            <w:r>
              <w:rPr>
                <w:rFonts w:hint="eastAsia" w:ascii="宋体" w:hAnsi="宋体"/>
                <w:sz w:val="24"/>
              </w:rPr>
              <w:t>位于青岛特殊钢铁</w:t>
            </w:r>
            <w:r>
              <w:rPr>
                <w:rFonts w:hint="eastAsia" w:ascii="宋体" w:hAnsi="宋体"/>
                <w:sz w:val="24"/>
                <w:lang w:val="en-US" w:eastAsia="zh-CN"/>
              </w:rPr>
              <w:t>有限公司内，站址中心坐标：北纬35.628668，</w:t>
            </w:r>
          </w:p>
          <w:p>
            <w:pPr>
              <w:adjustRightInd w:val="0"/>
              <w:spacing w:line="360" w:lineRule="auto"/>
              <w:rPr>
                <w:rFonts w:ascii="宋体" w:hAnsi="宋体"/>
                <w:bCs/>
                <w:sz w:val="24"/>
              </w:rPr>
            </w:pPr>
            <w:r>
              <w:rPr>
                <w:rFonts w:hint="eastAsia" w:ascii="宋体" w:hAnsi="宋体"/>
                <w:sz w:val="24"/>
                <w:lang w:val="en-US" w:eastAsia="zh-CN"/>
              </w:rPr>
              <w:t>东经119.727735。本工程变电站已投运</w:t>
            </w:r>
            <w:r>
              <w:rPr>
                <w:rFonts w:hint="eastAsia" w:ascii="宋体" w:hAnsi="宋体"/>
                <w:bCs/>
                <w:sz w:val="24"/>
              </w:rPr>
              <w:t>多年，根据现场勘查，变电站东侧为</w:t>
            </w:r>
            <w:r>
              <w:rPr>
                <w:rFonts w:hint="eastAsia" w:ascii="宋体" w:hAnsi="宋体"/>
                <w:bCs/>
                <w:sz w:val="24"/>
                <w:lang w:val="en-US" w:eastAsia="zh-CN"/>
              </w:rPr>
              <w:t>经四路</w:t>
            </w:r>
            <w:r>
              <w:rPr>
                <w:rFonts w:hint="eastAsia" w:ascii="宋体" w:hAnsi="宋体"/>
                <w:bCs/>
                <w:sz w:val="24"/>
              </w:rPr>
              <w:t>、南侧为</w:t>
            </w:r>
            <w:r>
              <w:rPr>
                <w:rFonts w:hint="eastAsia" w:ascii="宋体" w:hAnsi="宋体"/>
                <w:bCs/>
                <w:sz w:val="24"/>
                <w:lang w:val="en-US" w:eastAsia="zh-CN"/>
              </w:rPr>
              <w:t>鼓风区配套区（紧邻）</w:t>
            </w:r>
            <w:r>
              <w:rPr>
                <w:rFonts w:hint="eastAsia" w:ascii="宋体" w:hAnsi="宋体"/>
                <w:bCs/>
                <w:sz w:val="24"/>
              </w:rPr>
              <w:t>、西侧为</w:t>
            </w:r>
            <w:r>
              <w:rPr>
                <w:rFonts w:hint="eastAsia" w:ascii="宋体" w:hAnsi="宋体"/>
                <w:bCs/>
                <w:sz w:val="24"/>
                <w:lang w:val="en-US" w:eastAsia="zh-CN"/>
              </w:rPr>
              <w:t>高炉区（风机房紧邻）</w:t>
            </w:r>
            <w:r>
              <w:rPr>
                <w:rFonts w:hint="eastAsia" w:ascii="宋体" w:hAnsi="宋体"/>
                <w:bCs/>
                <w:sz w:val="24"/>
              </w:rPr>
              <w:t>、北侧为</w:t>
            </w:r>
            <w:r>
              <w:rPr>
                <w:rFonts w:hint="eastAsia" w:ascii="宋体" w:hAnsi="宋体"/>
                <w:bCs/>
                <w:sz w:val="24"/>
                <w:lang w:val="en-US" w:eastAsia="zh-CN"/>
              </w:rPr>
              <w:t>空地</w:t>
            </w:r>
            <w:r>
              <w:rPr>
                <w:rFonts w:hint="eastAsia" w:ascii="宋体" w:hAnsi="宋体"/>
                <w:bCs/>
                <w:sz w:val="24"/>
              </w:rPr>
              <w:t>。站界外3</w:t>
            </w:r>
            <w:r>
              <w:rPr>
                <w:rFonts w:ascii="宋体" w:hAnsi="宋体"/>
                <w:bCs/>
                <w:sz w:val="24"/>
              </w:rPr>
              <w:t>0m</w:t>
            </w:r>
            <w:r>
              <w:rPr>
                <w:rFonts w:hint="eastAsia" w:ascii="宋体" w:hAnsi="宋体"/>
                <w:bCs/>
                <w:sz w:val="24"/>
              </w:rPr>
              <w:t>范围内无环境保护目标。</w:t>
            </w:r>
          </w:p>
          <w:p>
            <w:pPr>
              <w:adjustRightInd w:val="0"/>
              <w:spacing w:line="360" w:lineRule="auto"/>
              <w:ind w:firstLine="482"/>
              <w:rPr>
                <w:rFonts w:hint="eastAsia" w:ascii="宋体" w:hAnsi="宋体" w:cs="Times New Roman"/>
                <w:color w:val="auto"/>
                <w:sz w:val="24"/>
              </w:rPr>
            </w:pPr>
            <w:r>
              <w:rPr>
                <w:rFonts w:hint="eastAsia" w:ascii="宋体" w:hAnsi="宋体"/>
                <w:sz w:val="24"/>
                <w:lang w:val="en-US" w:eastAsia="zh-CN"/>
              </w:rPr>
              <w:t>炼铁鼓风110kV变电站</w:t>
            </w:r>
            <w:r>
              <w:rPr>
                <w:rFonts w:hint="eastAsia" w:ascii="宋体" w:hAnsi="宋体"/>
                <w:sz w:val="24"/>
              </w:rPr>
              <w:t>地理位置示意图见图</w:t>
            </w:r>
            <w:r>
              <w:rPr>
                <w:rFonts w:ascii="宋体" w:hAnsi="宋体"/>
                <w:sz w:val="24"/>
              </w:rPr>
              <w:t>1-</w:t>
            </w:r>
            <w:r>
              <w:rPr>
                <w:rFonts w:hint="eastAsia" w:ascii="宋体" w:hAnsi="宋体"/>
                <w:sz w:val="24"/>
              </w:rPr>
              <w:t>1，</w:t>
            </w:r>
            <w:r>
              <w:rPr>
                <w:rFonts w:hint="eastAsia" w:ascii="宋体" w:hAnsi="宋体" w:cs="Times New Roman"/>
                <w:sz w:val="24"/>
              </w:rPr>
              <w:t>周边影像关系见图1-2，变电站周围现场照片见图1-4，青岛特殊钢铁有限公司平面</w:t>
            </w:r>
            <w:r>
              <w:rPr>
                <w:rFonts w:hint="eastAsia" w:ascii="宋体" w:hAnsi="宋体" w:cs="Times New Roman"/>
                <w:color w:val="auto"/>
                <w:sz w:val="24"/>
              </w:rPr>
              <w:t>布置图见图1-5。青岛特钢</w:t>
            </w:r>
            <w:r>
              <w:rPr>
                <w:rFonts w:hint="eastAsia" w:ascii="宋体" w:hAnsi="宋体" w:cs="Times New Roman"/>
                <w:color w:val="auto"/>
                <w:sz w:val="24"/>
                <w:lang w:val="en-US" w:eastAsia="zh-CN"/>
              </w:rPr>
              <w:t>厂区110kV变电站及线路分布图见图1-6</w:t>
            </w:r>
            <w:r>
              <w:rPr>
                <w:rFonts w:hint="eastAsia" w:ascii="宋体" w:hAnsi="宋体" w:cs="Times New Roman"/>
                <w:color w:val="auto"/>
                <w:sz w:val="24"/>
              </w:rPr>
              <w:t>。</w:t>
            </w:r>
          </w:p>
          <w:p>
            <w:pPr>
              <w:adjustRightInd w:val="0"/>
              <w:spacing w:line="360" w:lineRule="auto"/>
              <w:ind w:firstLine="482"/>
              <w:rPr>
                <w:rFonts w:ascii="宋体" w:hAnsi="宋体"/>
                <w:sz w:val="24"/>
              </w:rPr>
            </w:pPr>
            <w:r>
              <w:rPr>
                <w:rFonts w:hint="eastAsia" w:ascii="宋体" w:hAnsi="宋体"/>
                <w:sz w:val="24"/>
              </w:rPr>
              <w:t>站内</w:t>
            </w:r>
            <w:r>
              <w:rPr>
                <w:rFonts w:hint="eastAsia" w:ascii="宋体" w:hAnsi="宋体"/>
                <w:sz w:val="24"/>
                <w:lang w:val="en-US" w:eastAsia="zh-CN"/>
              </w:rPr>
              <w:t>无</w:t>
            </w:r>
            <w:r>
              <w:rPr>
                <w:rFonts w:hint="eastAsia" w:ascii="宋体" w:hAnsi="宋体"/>
                <w:sz w:val="24"/>
              </w:rPr>
              <w:t>人值守，占地面积</w:t>
            </w:r>
            <w:r>
              <w:rPr>
                <w:rFonts w:hint="eastAsia" w:ascii="宋体" w:hAnsi="宋体"/>
                <w:sz w:val="24"/>
                <w:lang w:val="en-US" w:eastAsia="zh-CN"/>
              </w:rPr>
              <w:t>约1200</w:t>
            </w:r>
            <w:r>
              <w:rPr>
                <w:rFonts w:hint="eastAsia" w:ascii="宋体" w:hAnsi="宋体"/>
                <w:sz w:val="24"/>
              </w:rPr>
              <w:t>m</w:t>
            </w:r>
            <w:r>
              <w:rPr>
                <w:rFonts w:hint="eastAsia" w:ascii="宋体" w:hAnsi="宋体"/>
                <w:sz w:val="24"/>
                <w:vertAlign w:val="superscript"/>
              </w:rPr>
              <w:t>2</w:t>
            </w:r>
            <w:r>
              <w:rPr>
                <w:rFonts w:hint="eastAsia" w:ascii="宋体" w:hAnsi="宋体"/>
                <w:sz w:val="24"/>
              </w:rPr>
              <w:t>，其中</w:t>
            </w:r>
            <w:r>
              <w:rPr>
                <w:rFonts w:hint="eastAsia" w:ascii="宋体" w:hAnsi="宋体"/>
                <w:sz w:val="24"/>
                <w:lang w:val="en-US" w:eastAsia="zh-CN"/>
              </w:rPr>
              <w:t>南北约120</w:t>
            </w:r>
            <w:r>
              <w:rPr>
                <w:rFonts w:hint="eastAsia" w:ascii="宋体" w:hAnsi="宋体"/>
                <w:sz w:val="24"/>
              </w:rPr>
              <w:t>m，</w:t>
            </w:r>
            <w:r>
              <w:rPr>
                <w:rFonts w:hint="eastAsia" w:ascii="宋体" w:hAnsi="宋体"/>
                <w:sz w:val="24"/>
                <w:lang w:val="en-US" w:eastAsia="zh-CN"/>
              </w:rPr>
              <w:t>东西约10</w:t>
            </w:r>
            <w:r>
              <w:rPr>
                <w:rFonts w:hint="eastAsia" w:ascii="宋体" w:hAnsi="宋体"/>
                <w:sz w:val="24"/>
              </w:rPr>
              <w:t>m。</w:t>
            </w:r>
            <w:r>
              <w:rPr>
                <w:rFonts w:hint="eastAsia" w:ascii="宋体" w:hAnsi="宋体"/>
                <w:sz w:val="24"/>
                <w:lang w:val="en-US" w:eastAsia="zh-CN"/>
              </w:rPr>
              <w:t>变电站</w:t>
            </w:r>
            <w:r>
              <w:rPr>
                <w:rFonts w:hint="eastAsia" w:ascii="宋体" w:hAnsi="宋体"/>
                <w:sz w:val="24"/>
              </w:rPr>
              <w:t>主要有</w:t>
            </w:r>
            <w:r>
              <w:rPr>
                <w:rFonts w:hint="eastAsia" w:ascii="宋体" w:hAnsi="宋体"/>
                <w:sz w:val="24"/>
                <w:lang w:val="en-US" w:eastAsia="zh-CN"/>
              </w:rPr>
              <w:t>无功补偿室</w:t>
            </w:r>
            <w:r>
              <w:rPr>
                <w:rFonts w:hint="eastAsia" w:ascii="宋体" w:hAnsi="宋体"/>
                <w:sz w:val="24"/>
              </w:rPr>
              <w:t>、</w:t>
            </w:r>
            <w:r>
              <w:rPr>
                <w:rFonts w:hint="eastAsia" w:ascii="宋体" w:hAnsi="宋体"/>
                <w:sz w:val="24"/>
                <w:lang w:val="en-US" w:eastAsia="zh-CN"/>
              </w:rPr>
              <w:t>10kV配电装置和鼓风系统配套设施软起动等</w:t>
            </w:r>
            <w:r>
              <w:rPr>
                <w:rFonts w:hint="eastAsia" w:ascii="宋体" w:hAnsi="宋体"/>
                <w:sz w:val="24"/>
                <w:lang w:eastAsia="zh-CN"/>
              </w:rPr>
              <w:t>，</w:t>
            </w:r>
            <w:r>
              <w:rPr>
                <w:rFonts w:hint="eastAsia" w:ascii="宋体" w:hAnsi="宋体"/>
                <w:sz w:val="24"/>
                <w:lang w:val="en-US" w:eastAsia="zh-CN"/>
              </w:rPr>
              <w:t>变电站未设置围墙</w:t>
            </w:r>
            <w:r>
              <w:rPr>
                <w:rFonts w:hint="eastAsia" w:ascii="宋体" w:hAnsi="宋体"/>
                <w:sz w:val="24"/>
                <w:lang w:eastAsia="zh-CN"/>
              </w:rPr>
              <w:t>。</w:t>
            </w:r>
            <w:r>
              <w:rPr>
                <w:rFonts w:hint="eastAsia" w:ascii="宋体" w:hAnsi="宋体"/>
                <w:sz w:val="24"/>
              </w:rPr>
              <w:t>主变压器</w:t>
            </w:r>
            <w:r>
              <w:rPr>
                <w:rFonts w:hint="eastAsia" w:ascii="宋体" w:hAnsi="宋体"/>
                <w:sz w:val="24"/>
                <w:lang w:val="en-US" w:eastAsia="zh-CN"/>
              </w:rPr>
              <w:t>均</w:t>
            </w:r>
            <w:r>
              <w:rPr>
                <w:rFonts w:hint="eastAsia" w:ascii="宋体" w:hAnsi="宋体"/>
                <w:sz w:val="24"/>
              </w:rPr>
              <w:t>布置在</w:t>
            </w:r>
            <w:r>
              <w:rPr>
                <w:rFonts w:hint="eastAsia" w:ascii="宋体" w:hAnsi="宋体"/>
                <w:sz w:val="24"/>
                <w:lang w:val="en-US" w:eastAsia="zh-CN"/>
              </w:rPr>
              <w:t>变电站北侧</w:t>
            </w:r>
            <w:r>
              <w:rPr>
                <w:rFonts w:hint="eastAsia" w:ascii="宋体" w:hAnsi="宋体"/>
                <w:sz w:val="24"/>
              </w:rPr>
              <w:t>，</w:t>
            </w:r>
            <w:r>
              <w:rPr>
                <w:rFonts w:hint="eastAsia" w:ascii="宋体" w:hAnsi="宋体"/>
                <w:sz w:val="24"/>
                <w:lang w:val="en-US" w:eastAsia="zh-CN"/>
              </w:rPr>
              <w:t>北</w:t>
            </w:r>
            <w:r>
              <w:rPr>
                <w:rFonts w:hint="eastAsia" w:ascii="宋体" w:hAnsi="宋体"/>
                <w:sz w:val="24"/>
              </w:rPr>
              <w:t>侧自</w:t>
            </w:r>
            <w:r>
              <w:rPr>
                <w:rFonts w:hint="eastAsia" w:ascii="宋体" w:hAnsi="宋体"/>
                <w:sz w:val="24"/>
                <w:lang w:val="en-US" w:eastAsia="zh-CN"/>
              </w:rPr>
              <w:t>北</w:t>
            </w:r>
            <w:r>
              <w:rPr>
                <w:rFonts w:hint="eastAsia" w:ascii="宋体" w:hAnsi="宋体"/>
                <w:sz w:val="24"/>
              </w:rPr>
              <w:t>向</w:t>
            </w:r>
            <w:r>
              <w:rPr>
                <w:rFonts w:hint="eastAsia" w:ascii="宋体" w:hAnsi="宋体"/>
                <w:sz w:val="24"/>
                <w:lang w:val="en-US" w:eastAsia="zh-CN"/>
              </w:rPr>
              <w:t>南</w:t>
            </w:r>
            <w:r>
              <w:rPr>
                <w:rFonts w:hint="eastAsia" w:ascii="宋体" w:hAnsi="宋体"/>
                <w:sz w:val="24"/>
              </w:rPr>
              <w:t>依次为#</w:t>
            </w:r>
            <w:r>
              <w:rPr>
                <w:rFonts w:hint="eastAsia" w:ascii="宋体" w:hAnsi="宋体"/>
                <w:sz w:val="24"/>
                <w:lang w:val="en-US" w:eastAsia="zh-CN"/>
              </w:rPr>
              <w:t>1</w:t>
            </w:r>
            <w:r>
              <w:rPr>
                <w:rFonts w:hint="eastAsia" w:ascii="宋体" w:hAnsi="宋体"/>
                <w:sz w:val="24"/>
              </w:rPr>
              <w:t>主变、#</w:t>
            </w:r>
            <w:r>
              <w:rPr>
                <w:rFonts w:hint="eastAsia" w:ascii="宋体" w:hAnsi="宋体"/>
                <w:sz w:val="24"/>
                <w:lang w:val="en-US" w:eastAsia="zh-CN"/>
              </w:rPr>
              <w:t>2</w:t>
            </w:r>
            <w:r>
              <w:rPr>
                <w:rFonts w:hint="eastAsia" w:ascii="宋体" w:hAnsi="宋体"/>
                <w:sz w:val="24"/>
              </w:rPr>
              <w:t>主变</w:t>
            </w:r>
            <w:r>
              <w:rPr>
                <w:rFonts w:hint="eastAsia" w:ascii="宋体" w:hAnsi="宋体"/>
                <w:sz w:val="24"/>
                <w:lang w:val="en-US" w:eastAsia="zh-CN"/>
              </w:rPr>
              <w:t>和</w:t>
            </w:r>
            <w:r>
              <w:rPr>
                <w:rFonts w:hint="eastAsia" w:ascii="宋体" w:hAnsi="宋体"/>
                <w:sz w:val="24"/>
              </w:rPr>
              <w:t>#</w:t>
            </w:r>
            <w:r>
              <w:rPr>
                <w:rFonts w:hint="eastAsia" w:ascii="宋体" w:hAnsi="宋体"/>
                <w:sz w:val="24"/>
                <w:lang w:val="en-US" w:eastAsia="zh-CN"/>
              </w:rPr>
              <w:t>3</w:t>
            </w:r>
            <w:r>
              <w:rPr>
                <w:rFonts w:hint="eastAsia" w:ascii="宋体" w:hAnsi="宋体"/>
                <w:sz w:val="24"/>
              </w:rPr>
              <w:t>主变</w:t>
            </w:r>
            <w:r>
              <w:rPr>
                <w:rFonts w:hint="eastAsia" w:ascii="宋体" w:hAnsi="宋体"/>
                <w:sz w:val="24"/>
                <w:lang w:val="en-US" w:eastAsia="zh-CN"/>
              </w:rPr>
              <w:t>，3</w:t>
            </w:r>
            <w:r>
              <w:rPr>
                <w:rFonts w:hint="eastAsia" w:ascii="宋体" w:hAnsi="宋体"/>
                <w:sz w:val="24"/>
              </w:rPr>
              <w:t>台主变底部均建设有1个贮油坑，有效容积约20m</w:t>
            </w:r>
            <w:r>
              <w:rPr>
                <w:rFonts w:hint="eastAsia" w:ascii="宋体" w:hAnsi="宋体"/>
                <w:sz w:val="24"/>
                <w:vertAlign w:val="superscript"/>
              </w:rPr>
              <w:t>3</w:t>
            </w:r>
            <w:r>
              <w:rPr>
                <w:rFonts w:hint="eastAsia" w:ascii="宋体" w:hAnsi="宋体"/>
                <w:sz w:val="24"/>
              </w:rPr>
              <w:t>，</w:t>
            </w:r>
            <w:r>
              <w:rPr>
                <w:rFonts w:hint="eastAsia" w:ascii="宋体" w:hAnsi="宋体"/>
                <w:sz w:val="24"/>
                <w:lang w:val="en-US" w:eastAsia="zh-CN"/>
              </w:rPr>
              <w:t>变电站未设置事故油池</w:t>
            </w:r>
            <w:r>
              <w:rPr>
                <w:rFonts w:hint="eastAsia" w:ascii="宋体" w:hAnsi="宋体"/>
                <w:sz w:val="24"/>
              </w:rPr>
              <w:t>。</w:t>
            </w:r>
            <w:r>
              <w:rPr>
                <w:rFonts w:hint="eastAsia" w:ascii="宋体" w:hAnsi="宋体"/>
                <w:sz w:val="24"/>
                <w:lang w:val="en-US" w:eastAsia="zh-CN"/>
              </w:rPr>
              <w:t>炼铁鼓风110kV变电站</w:t>
            </w:r>
            <w:r>
              <w:rPr>
                <w:rFonts w:hint="eastAsia" w:ascii="宋体" w:hAnsi="宋体"/>
                <w:sz w:val="24"/>
              </w:rPr>
              <w:t>平面布置图见图1-</w:t>
            </w:r>
            <w:r>
              <w:rPr>
                <w:rFonts w:hint="eastAsia" w:ascii="宋体" w:hAnsi="宋体"/>
                <w:sz w:val="24"/>
                <w:lang w:val="en-US" w:eastAsia="zh-CN"/>
              </w:rPr>
              <w:t>7</w:t>
            </w:r>
            <w:r>
              <w:rPr>
                <w:rFonts w:hint="eastAsia" w:ascii="宋体" w:hAnsi="宋体"/>
                <w:sz w:val="24"/>
              </w:rPr>
              <w:t>。</w:t>
            </w:r>
          </w:p>
          <w:p>
            <w:pPr>
              <w:adjustRightInd w:val="0"/>
              <w:spacing w:line="360" w:lineRule="auto"/>
              <w:ind w:firstLine="482"/>
              <w:rPr>
                <w:rFonts w:ascii="宋体" w:hAnsi="宋体"/>
                <w:bCs/>
                <w:sz w:val="24"/>
              </w:rPr>
            </w:pPr>
            <w:r>
              <w:rPr>
                <w:rFonts w:hint="eastAsia" w:ascii="宋体" w:hAnsi="宋体"/>
                <w:bCs/>
                <w:sz w:val="24"/>
              </w:rPr>
              <w:t>1.3.2线路概况</w:t>
            </w:r>
          </w:p>
          <w:p>
            <w:pPr>
              <w:adjustRightInd w:val="0"/>
              <w:spacing w:line="360" w:lineRule="auto"/>
              <w:ind w:firstLine="482"/>
              <w:rPr>
                <w:rFonts w:hint="eastAsia" w:ascii="宋体" w:hAnsi="宋体"/>
                <w:sz w:val="24"/>
              </w:rPr>
            </w:pPr>
            <w:r>
              <w:rPr>
                <w:rFonts w:hint="eastAsia" w:ascii="宋体" w:hAnsi="宋体"/>
                <w:sz w:val="24"/>
              </w:rPr>
              <w:t>本工程线路包括：</w:t>
            </w:r>
            <w:r>
              <w:rPr>
                <w:rFonts w:hint="eastAsia" w:ascii="宋体" w:hAnsi="宋体"/>
                <w:sz w:val="24"/>
                <w:lang w:val="en-US" w:eastAsia="zh-CN"/>
              </w:rPr>
              <w:t>110kV鼓风I线</w:t>
            </w:r>
            <w:r>
              <w:rPr>
                <w:rFonts w:hint="eastAsia" w:ascii="宋体" w:hAnsi="宋体"/>
                <w:sz w:val="24"/>
              </w:rPr>
              <w:t>、</w:t>
            </w:r>
            <w:r>
              <w:rPr>
                <w:rFonts w:hint="eastAsia" w:ascii="宋体" w:hAnsi="宋体"/>
                <w:sz w:val="24"/>
                <w:lang w:val="en-US" w:eastAsia="zh-CN"/>
              </w:rPr>
              <w:t>110kV鼓风II线和110kV鼓风III线</w:t>
            </w:r>
            <w:r>
              <w:rPr>
                <w:rFonts w:hint="eastAsia" w:ascii="宋体" w:hAnsi="宋体"/>
                <w:sz w:val="24"/>
              </w:rPr>
              <w:t>。</w:t>
            </w:r>
          </w:p>
          <w:p>
            <w:pPr>
              <w:adjustRightInd w:val="0"/>
              <w:spacing w:line="360" w:lineRule="auto"/>
              <w:ind w:firstLine="482"/>
              <w:rPr>
                <w:rFonts w:hint="eastAsia" w:ascii="宋体" w:hAnsi="宋体" w:cs="Times New Roman"/>
                <w:sz w:val="24"/>
                <w:lang w:val="en-US" w:eastAsia="zh-CN"/>
              </w:rPr>
            </w:pPr>
            <w:r>
              <w:rPr>
                <w:rFonts w:hint="eastAsia" w:ascii="宋体" w:hAnsi="宋体"/>
                <w:sz w:val="24"/>
                <w:lang w:val="en-US" w:eastAsia="zh-CN"/>
              </w:rPr>
              <w:t>本工程线路自冶炼铁前110kV变电站GIS端出线后向西跨过经四路，然后沿经四路向南至炼铁鼓风110kV变电站东侧，分别进入炼</w:t>
            </w:r>
            <w:r>
              <w:rPr>
                <w:rFonts w:hint="eastAsia" w:ascii="宋体" w:hAnsi="宋体" w:cs="Times New Roman"/>
                <w:sz w:val="24"/>
                <w:lang w:val="en-US" w:eastAsia="zh-CN"/>
              </w:rPr>
              <w:t>铁鼓风110kV变电站#1至#3主变，全长3×0.35km。</w:t>
            </w:r>
          </w:p>
          <w:p>
            <w:pPr>
              <w:adjustRightInd w:val="0"/>
              <w:spacing w:line="360" w:lineRule="auto"/>
              <w:ind w:firstLine="482"/>
              <w:rPr>
                <w:rFonts w:ascii="宋体" w:hAnsi="宋体"/>
                <w:bCs/>
                <w:sz w:val="24"/>
                <w:szCs w:val="32"/>
              </w:rPr>
            </w:pPr>
            <w:r>
              <w:rPr>
                <w:rFonts w:hint="eastAsia" w:ascii="宋体" w:hAnsi="宋体" w:cs="Times New Roman"/>
                <w:sz w:val="24"/>
                <w:lang w:val="en-US" w:eastAsia="zh-CN"/>
              </w:rPr>
              <w:t xml:space="preserve"> </w:t>
            </w:r>
            <w:r>
              <w:rPr>
                <w:rFonts w:hint="eastAsia" w:ascii="宋体" w:hAnsi="宋体"/>
                <w:sz w:val="24"/>
              </w:rPr>
              <w:t>本工程线路均为空中电缆通廊内电缆敷设，根据《110kV～750kV架空输电线路设计规范》（GB50545-2010）中对“架空输电线路”的定义“2.1.1架空输电线路，用绝缘子和杆塔将导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539" w:hRule="atLeast"/>
        </w:trPr>
        <w:tc>
          <w:tcPr>
            <w:tcW w:w="9926" w:type="dxa"/>
            <w:gridSpan w:val="14"/>
          </w:tcPr>
          <w:p>
            <w:pPr>
              <w:adjustRightInd w:val="0"/>
              <w:spacing w:line="360" w:lineRule="auto"/>
              <w:rPr>
                <w:rFonts w:hint="eastAsia" w:ascii="宋体" w:hAnsi="宋体" w:cs="Times New Roman"/>
                <w:sz w:val="24"/>
                <w:lang w:val="en-US" w:eastAsia="zh-CN"/>
              </w:rPr>
            </w:pPr>
            <w:bookmarkStart w:id="1" w:name="OLE_LINK6"/>
            <w:r>
              <w:rPr>
                <w:rFonts w:hint="eastAsia" w:ascii="宋体" w:hAnsi="宋体"/>
                <w:sz w:val="24"/>
              </w:rPr>
              <w:t>线架设于地面上的电力线路”，本工程电缆线</w:t>
            </w:r>
            <w:r>
              <w:rPr>
                <w:rFonts w:hint="eastAsia" w:ascii="宋体" w:hAnsi="宋体"/>
                <w:color w:val="auto"/>
                <w:sz w:val="24"/>
              </w:rPr>
              <w:t>路</w:t>
            </w:r>
            <w:r>
              <w:rPr>
                <w:rFonts w:hint="eastAsia" w:ascii="宋体" w:hAnsi="宋体" w:cs="Times New Roman"/>
                <w:color w:val="auto"/>
                <w:sz w:val="24"/>
              </w:rPr>
              <w:t>不属于架空线路。</w:t>
            </w:r>
            <w:r>
              <w:rPr>
                <w:rFonts w:hint="eastAsia" w:ascii="宋体" w:hAnsi="宋体" w:cs="Times New Roman"/>
                <w:color w:val="auto"/>
                <w:sz w:val="24"/>
                <w:lang w:val="en-US" w:eastAsia="zh-CN"/>
              </w:rPr>
              <w:t>本工程电缆线路主要位于空中</w:t>
            </w:r>
            <w:r>
              <w:rPr>
                <w:rFonts w:hint="eastAsia" w:ascii="宋体" w:hAnsi="宋体" w:cs="Times New Roman"/>
                <w:color w:val="auto"/>
                <w:sz w:val="24"/>
              </w:rPr>
              <w:t>电缆通廊内</w:t>
            </w:r>
            <w:r>
              <w:rPr>
                <w:rFonts w:hint="eastAsia" w:ascii="宋体" w:hAnsi="宋体" w:cs="Times New Roman"/>
                <w:color w:val="auto"/>
                <w:sz w:val="24"/>
                <w:lang w:val="en-US" w:eastAsia="zh-CN"/>
              </w:rPr>
              <w:t>，评价范围</w:t>
            </w:r>
            <w:r>
              <w:rPr>
                <w:rFonts w:hint="eastAsia" w:ascii="宋体" w:hAnsi="宋体" w:cs="Times New Roman"/>
                <w:color w:val="auto"/>
                <w:sz w:val="24"/>
              </w:rPr>
              <w:t>按架空线路保守评价</w:t>
            </w:r>
            <w:r>
              <w:rPr>
                <w:rFonts w:hint="eastAsia" w:ascii="宋体" w:hAnsi="宋体" w:cs="Times New Roman"/>
                <w:color w:val="auto"/>
                <w:sz w:val="24"/>
                <w:lang w:val="en-US" w:eastAsia="zh-CN"/>
              </w:rPr>
              <w:t>。</w:t>
            </w:r>
          </w:p>
          <w:p>
            <w:pPr>
              <w:adjustRightInd w:val="0"/>
              <w:spacing w:line="360" w:lineRule="auto"/>
              <w:ind w:firstLine="480" w:firstLineChars="200"/>
              <w:rPr>
                <w:rFonts w:hint="eastAsia" w:ascii="宋体" w:hAnsi="宋体" w:cs="Times New Roman"/>
                <w:sz w:val="24"/>
              </w:rPr>
            </w:pPr>
            <w:r>
              <w:rPr>
                <w:rFonts w:hint="eastAsia" w:ascii="宋体" w:hAnsi="宋体" w:cs="Times New Roman"/>
                <w:sz w:val="24"/>
              </w:rPr>
              <w:t>本工程线路路径图见图1-</w:t>
            </w:r>
            <w:r>
              <w:rPr>
                <w:rFonts w:hint="eastAsia" w:ascii="宋体" w:hAnsi="宋体" w:cs="Times New Roman"/>
                <w:sz w:val="24"/>
                <w:lang w:val="en-US" w:eastAsia="zh-CN"/>
              </w:rPr>
              <w:t>8</w:t>
            </w:r>
            <w:r>
              <w:rPr>
                <w:rFonts w:hint="eastAsia" w:ascii="宋体" w:hAnsi="宋体" w:cs="Times New Roman"/>
                <w:sz w:val="24"/>
              </w:rPr>
              <w:t>。</w:t>
            </w:r>
          </w:p>
          <w:p>
            <w:pPr>
              <w:adjustRightInd w:val="0"/>
              <w:spacing w:line="360" w:lineRule="auto"/>
              <w:rPr>
                <w:rFonts w:ascii="黑体" w:eastAsia="黑体"/>
                <w:snapToGrid w:val="0"/>
                <w:kern w:val="0"/>
                <w:sz w:val="28"/>
                <w:szCs w:val="28"/>
              </w:rPr>
            </w:pPr>
            <w:r>
              <w:rPr>
                <w:rFonts w:ascii="黑体" w:eastAsia="黑体"/>
                <w:snapToGrid w:val="0"/>
                <w:kern w:val="0"/>
                <w:sz w:val="28"/>
                <w:szCs w:val="28"/>
              </w:rPr>
              <w:t>1.4</w:t>
            </w:r>
            <w:r>
              <w:rPr>
                <w:rFonts w:hint="eastAsia" w:ascii="黑体" w:eastAsia="黑体"/>
                <w:snapToGrid w:val="0"/>
                <w:kern w:val="0"/>
                <w:sz w:val="28"/>
                <w:szCs w:val="28"/>
              </w:rPr>
              <w:t>编制依据</w:t>
            </w:r>
          </w:p>
          <w:p>
            <w:pPr>
              <w:spacing w:line="360" w:lineRule="auto"/>
              <w:rPr>
                <w:rFonts w:ascii="黑体" w:eastAsia="黑体"/>
                <w:snapToGrid w:val="0"/>
                <w:kern w:val="0"/>
                <w:sz w:val="24"/>
              </w:rPr>
            </w:pPr>
            <w:r>
              <w:rPr>
                <w:rFonts w:ascii="黑体" w:eastAsia="黑体"/>
                <w:snapToGrid w:val="0"/>
                <w:kern w:val="0"/>
                <w:sz w:val="24"/>
              </w:rPr>
              <w:t>1.4.1</w:t>
            </w:r>
            <w:r>
              <w:rPr>
                <w:rFonts w:ascii="宋体" w:hAnsi="宋体"/>
                <w:b/>
                <w:sz w:val="24"/>
              </w:rPr>
              <w:t>环境保护法律、法规及政策性文件</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（1）《中华人民共和国环境保护法》（2014年4月24日第十二届全国人民代表大会常务委员会第八次会议修订，自2015年1月1日起施行）</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（2）《中华人民共和国环境影响评价法》</w:t>
            </w:r>
            <w:r>
              <w:rPr>
                <w:rFonts w:hAnsi="宋体"/>
                <w:sz w:val="24"/>
              </w:rPr>
              <w:t>（</w:t>
            </w:r>
            <w:r>
              <w:rPr>
                <w:rFonts w:hint="eastAsia" w:ascii="宋体" w:hAnsi="宋体"/>
                <w:sz w:val="24"/>
              </w:rPr>
              <w:t>2018年12月29日修正，中华人民共和国主席令第24号</w:t>
            </w:r>
            <w:r>
              <w:rPr>
                <w:rFonts w:hAnsi="宋体"/>
                <w:sz w:val="24"/>
              </w:rPr>
              <w:t>）</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（3）《中华人民共和国环境噪声污染防治法》</w:t>
            </w:r>
            <w:r>
              <w:rPr>
                <w:rFonts w:hAnsi="宋体"/>
                <w:sz w:val="24"/>
              </w:rPr>
              <w:t>（</w:t>
            </w:r>
            <w:r>
              <w:rPr>
                <w:rFonts w:hint="eastAsia" w:ascii="宋体" w:hAnsi="宋体"/>
                <w:sz w:val="24"/>
              </w:rPr>
              <w:t>2018年12月29日第十三届全国人民代表大会常务委员会第七次会议修正</w:t>
            </w:r>
            <w:r>
              <w:rPr>
                <w:rFonts w:hAnsi="宋体"/>
                <w:sz w:val="24"/>
              </w:rPr>
              <w:t>）</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（4）《中华人民共和国水污染防治法》（2017年6月修正，2018年1月1日施行）</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（5）《中华人民共和国固体废物污染环境防治法》（2016修订）</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（6）《中华人民共和国城乡规划法》（2015年修正）</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（7）《中华人民共和国电力法》（2015年第二次修订）</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（8）《建设项目环境保护管理条例》（2017年10月1日施行，国务院第682号令）</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（9）《产业结构调整指导目录（2011年本）（修正）》（2013年5月1日起施行，国家发展和改革委员会令第21号）</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（10）《建设项目环境影响评价分类管理名录》（中华人民共和国生态环境部令第1号，2018年4月28日）</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（11）《国家危险废物名录》（2016年修订，2016年8月1日起实施）</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（12）《电力设施保护条例》（2011年第二次修订）</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（13）《电力设施保护条例实施细则》（1999年3月18日施行，国家经济贸易委员会、公安部令第8号）</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（14）《山东省电力设施和电能保护条例》（2011年3月1日起实施）</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（15）《电磁辐射环境保护管理办法》（1997年3月25日实施，国家环境保护总局令第18号）</w:t>
            </w:r>
          </w:p>
          <w:p>
            <w:pPr>
              <w:adjustRightInd w:val="0"/>
              <w:snapToGrid w:val="0"/>
              <w:spacing w:line="360" w:lineRule="auto"/>
              <w:ind w:firstLine="480" w:firstLineChars="200"/>
              <w:rPr>
                <w:rFonts w:ascii="宋体" w:hAnsi="宋体"/>
                <w:sz w:val="24"/>
              </w:rPr>
            </w:pPr>
            <w:r>
              <w:rPr>
                <w:rFonts w:hAnsi="宋体"/>
                <w:sz w:val="24"/>
              </w:rPr>
              <w:t>（</w:t>
            </w:r>
            <w:r>
              <w:rPr>
                <w:rFonts w:ascii="宋体" w:hAnsi="宋体"/>
                <w:sz w:val="24"/>
              </w:rPr>
              <w:t>1</w:t>
            </w:r>
            <w:r>
              <w:rPr>
                <w:rFonts w:hint="eastAsia" w:ascii="宋体" w:hAnsi="宋体"/>
                <w:sz w:val="24"/>
              </w:rPr>
              <w:t>6</w:t>
            </w:r>
            <w:r>
              <w:rPr>
                <w:rFonts w:ascii="宋体" w:hAnsi="宋体"/>
                <w:sz w:val="24"/>
              </w:rPr>
              <w:t>）《山东省环境保护条例》（</w:t>
            </w:r>
            <w:r>
              <w:rPr>
                <w:rFonts w:hint="eastAsia" w:ascii="宋体" w:hAnsi="宋体"/>
                <w:sz w:val="24"/>
              </w:rPr>
              <w:t>2018年11月30日山东省第十三届人民代表大会常务委员会第七次会议修订，2</w:t>
            </w:r>
            <w:r>
              <w:rPr>
                <w:rFonts w:ascii="宋体" w:hAnsi="宋体"/>
                <w:sz w:val="24"/>
              </w:rPr>
              <w:t>019</w:t>
            </w:r>
            <w:r>
              <w:rPr>
                <w:rFonts w:hint="eastAsia" w:ascii="宋体" w:hAnsi="宋体"/>
                <w:sz w:val="24"/>
              </w:rPr>
              <w:t>年1月1日起施行</w:t>
            </w:r>
            <w:r>
              <w:rPr>
                <w:rFonts w:ascii="宋体" w:hAnsi="宋体"/>
                <w:sz w:val="24"/>
              </w:rPr>
              <w:t>）</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（17）《山东省辐射污染防治条例》（2018年11月30日山东省第十三届人民代表大会常务委员会第七次会议修订，2019年1月1日起施行）</w:t>
            </w:r>
          </w:p>
          <w:p>
            <w:pPr>
              <w:pStyle w:val="10"/>
              <w:spacing w:line="360" w:lineRule="auto"/>
              <w:ind w:firstLine="480" w:firstLineChars="200"/>
              <w:rPr>
                <w:rFonts w:hAnsi="宋体" w:cs="Courier New"/>
                <w:snapToGrid w:val="0"/>
                <w:kern w:val="0"/>
                <w:sz w:val="24"/>
                <w:szCs w:val="24"/>
              </w:rPr>
            </w:pPr>
            <w:r>
              <w:rPr>
                <w:rFonts w:hint="eastAsia" w:hAnsi="宋体" w:cs="Courier New"/>
                <w:snapToGrid w:val="0"/>
                <w:kern w:val="0"/>
                <w:sz w:val="24"/>
                <w:szCs w:val="24"/>
              </w:rPr>
              <w:t>（18）《山东省生态保护红线规划》(2016-2020年)</w:t>
            </w:r>
          </w:p>
          <w:p>
            <w:pPr>
              <w:spacing w:line="360" w:lineRule="auto"/>
              <w:rPr>
                <w:rFonts w:ascii="黑体" w:eastAsia="黑体"/>
                <w:snapToGrid w:val="0"/>
                <w:kern w:val="0"/>
                <w:sz w:val="24"/>
              </w:rPr>
            </w:pPr>
            <w:r>
              <w:rPr>
                <w:rFonts w:ascii="黑体" w:eastAsia="黑体"/>
                <w:snapToGrid w:val="0"/>
                <w:kern w:val="0"/>
                <w:sz w:val="24"/>
              </w:rPr>
              <w:t>1.4.2</w:t>
            </w:r>
            <w:r>
              <w:rPr>
                <w:rFonts w:ascii="宋体" w:hAnsi="宋体"/>
                <w:b/>
                <w:sz w:val="24"/>
              </w:rPr>
              <w:t>评价技术标准、导则及规范</w:t>
            </w:r>
          </w:p>
          <w:p>
            <w:pPr>
              <w:pStyle w:val="10"/>
              <w:spacing w:line="360" w:lineRule="auto"/>
              <w:ind w:firstLine="480" w:firstLineChars="200"/>
              <w:rPr>
                <w:rFonts w:hAnsi="宋体" w:cs="Courier New"/>
                <w:snapToGrid w:val="0"/>
                <w:kern w:val="0"/>
                <w:sz w:val="24"/>
                <w:szCs w:val="24"/>
              </w:rPr>
            </w:pPr>
            <w:r>
              <w:rPr>
                <w:rFonts w:hint="eastAsia" w:hAnsi="宋体" w:cs="Courier New"/>
                <w:snapToGrid w:val="0"/>
                <w:kern w:val="0"/>
                <w:sz w:val="24"/>
                <w:szCs w:val="24"/>
              </w:rPr>
              <w:t>（</w:t>
            </w:r>
            <w:r>
              <w:rPr>
                <w:rFonts w:hAnsi="宋体" w:cs="Courier New"/>
                <w:snapToGrid w:val="0"/>
                <w:kern w:val="0"/>
                <w:sz w:val="24"/>
                <w:szCs w:val="24"/>
              </w:rPr>
              <w:t>1</w:t>
            </w:r>
            <w:r>
              <w:rPr>
                <w:rFonts w:hint="eastAsia" w:hAnsi="宋体" w:cs="Courier New"/>
                <w:snapToGrid w:val="0"/>
                <w:kern w:val="0"/>
                <w:sz w:val="24"/>
                <w:szCs w:val="24"/>
              </w:rPr>
              <w:t>）《建设项目环境影响评价技术导则</w:t>
            </w:r>
            <w:r>
              <w:rPr>
                <w:rFonts w:hAnsi="宋体" w:cs="Courier New"/>
                <w:snapToGrid w:val="0"/>
                <w:kern w:val="0"/>
                <w:sz w:val="24"/>
                <w:szCs w:val="24"/>
              </w:rPr>
              <w:t>-</w:t>
            </w:r>
            <w:r>
              <w:rPr>
                <w:rFonts w:hint="eastAsia" w:hAnsi="宋体" w:cs="Courier New"/>
                <w:snapToGrid w:val="0"/>
                <w:kern w:val="0"/>
                <w:sz w:val="24"/>
                <w:szCs w:val="24"/>
              </w:rPr>
              <w:t>总纲》</w:t>
            </w:r>
            <w:r>
              <w:rPr>
                <w:rFonts w:hAnsi="宋体" w:cs="Courier New"/>
                <w:snapToGrid w:val="0"/>
                <w:kern w:val="0"/>
                <w:sz w:val="24"/>
                <w:szCs w:val="24"/>
              </w:rPr>
              <w:t>(HJ2.1-201</w:t>
            </w:r>
            <w:r>
              <w:rPr>
                <w:rFonts w:hint="eastAsia" w:hAnsi="宋体" w:cs="Courier New"/>
                <w:snapToGrid w:val="0"/>
                <w:kern w:val="0"/>
                <w:sz w:val="24"/>
                <w:szCs w:val="24"/>
              </w:rPr>
              <w:t>6</w:t>
            </w:r>
            <w:r>
              <w:rPr>
                <w:rFonts w:hAnsi="宋体" w:cs="Courier New"/>
                <w:snapToGrid w:val="0"/>
                <w:kern w:val="0"/>
                <w:sz w:val="24"/>
                <w:szCs w:val="24"/>
              </w:rPr>
              <w:t>)</w:t>
            </w:r>
            <w:r>
              <w:rPr>
                <w:rFonts w:hint="eastAsia" w:hAnsi="宋体" w:cs="Courier New"/>
                <w:snapToGrid w:val="0"/>
                <w:kern w:val="0"/>
                <w:sz w:val="24"/>
                <w:szCs w:val="24"/>
              </w:rPr>
              <w:t>；</w:t>
            </w:r>
          </w:p>
          <w:p>
            <w:pPr>
              <w:pStyle w:val="10"/>
              <w:spacing w:line="360" w:lineRule="auto"/>
              <w:ind w:firstLine="480" w:firstLineChars="200"/>
              <w:rPr>
                <w:rFonts w:hAnsi="宋体" w:cs="Courier New"/>
                <w:snapToGrid w:val="0"/>
                <w:kern w:val="0"/>
                <w:sz w:val="24"/>
                <w:szCs w:val="24"/>
              </w:rPr>
            </w:pPr>
            <w:r>
              <w:rPr>
                <w:rFonts w:hint="eastAsia" w:hAnsi="宋体" w:cs="Courier New"/>
                <w:snapToGrid w:val="0"/>
                <w:kern w:val="0"/>
                <w:sz w:val="24"/>
                <w:szCs w:val="24"/>
              </w:rPr>
              <w:t>（</w:t>
            </w:r>
            <w:r>
              <w:rPr>
                <w:rFonts w:hAnsi="宋体" w:cs="Courier New"/>
                <w:snapToGrid w:val="0"/>
                <w:kern w:val="0"/>
                <w:sz w:val="24"/>
                <w:szCs w:val="24"/>
              </w:rPr>
              <w:t>2</w:t>
            </w:r>
            <w:r>
              <w:rPr>
                <w:rFonts w:hint="eastAsia" w:hAnsi="宋体" w:cs="Courier New"/>
                <w:snapToGrid w:val="0"/>
                <w:kern w:val="0"/>
                <w:sz w:val="24"/>
                <w:szCs w:val="24"/>
              </w:rPr>
              <w:t>）《环境影响评价技术导则</w:t>
            </w:r>
            <w:r>
              <w:rPr>
                <w:rFonts w:hAnsi="宋体" w:cs="Courier New"/>
                <w:snapToGrid w:val="0"/>
                <w:kern w:val="0"/>
                <w:sz w:val="24"/>
                <w:szCs w:val="24"/>
              </w:rPr>
              <w:t>-</w:t>
            </w:r>
            <w:r>
              <w:rPr>
                <w:rFonts w:hint="eastAsia" w:hAnsi="宋体" w:cs="Courier New"/>
                <w:snapToGrid w:val="0"/>
                <w:kern w:val="0"/>
                <w:sz w:val="24"/>
                <w:szCs w:val="24"/>
              </w:rPr>
              <w:t>声环境》（</w:t>
            </w:r>
            <w:r>
              <w:rPr>
                <w:rFonts w:hAnsi="宋体" w:cs="Courier New"/>
                <w:snapToGrid w:val="0"/>
                <w:kern w:val="0"/>
                <w:sz w:val="24"/>
                <w:szCs w:val="24"/>
              </w:rPr>
              <w:t>HJ2.4-2009</w:t>
            </w:r>
            <w:r>
              <w:rPr>
                <w:rFonts w:hint="eastAsia" w:hAnsi="宋体" w:cs="Courier New"/>
                <w:snapToGrid w:val="0"/>
                <w:kern w:val="0"/>
                <w:sz w:val="24"/>
                <w:szCs w:val="24"/>
              </w:rPr>
              <w:t>）；</w:t>
            </w:r>
          </w:p>
          <w:p>
            <w:pPr>
              <w:pStyle w:val="10"/>
              <w:spacing w:line="360" w:lineRule="auto"/>
              <w:ind w:firstLine="480" w:firstLineChars="200"/>
              <w:rPr>
                <w:rFonts w:hAnsi="宋体" w:cs="Courier New"/>
                <w:snapToGrid w:val="0"/>
                <w:kern w:val="0"/>
                <w:sz w:val="24"/>
                <w:szCs w:val="24"/>
              </w:rPr>
            </w:pPr>
            <w:r>
              <w:rPr>
                <w:rFonts w:hint="eastAsia" w:hAnsi="宋体" w:cs="Courier New"/>
                <w:snapToGrid w:val="0"/>
                <w:kern w:val="0"/>
                <w:sz w:val="24"/>
                <w:szCs w:val="24"/>
              </w:rPr>
              <w:t>（</w:t>
            </w:r>
            <w:r>
              <w:rPr>
                <w:rFonts w:hAnsi="宋体" w:cs="Courier New"/>
                <w:snapToGrid w:val="0"/>
                <w:kern w:val="0"/>
                <w:sz w:val="24"/>
                <w:szCs w:val="24"/>
              </w:rPr>
              <w:t>3</w:t>
            </w:r>
            <w:r>
              <w:rPr>
                <w:rFonts w:hint="eastAsia" w:hAnsi="宋体" w:cs="Courier New"/>
                <w:snapToGrid w:val="0"/>
                <w:kern w:val="0"/>
                <w:sz w:val="24"/>
                <w:szCs w:val="24"/>
              </w:rPr>
              <w:t>）《环境影响评价技术导则</w:t>
            </w:r>
            <w:r>
              <w:rPr>
                <w:rFonts w:hAnsi="宋体" w:cs="Courier New"/>
                <w:snapToGrid w:val="0"/>
                <w:kern w:val="0"/>
                <w:sz w:val="24"/>
                <w:szCs w:val="24"/>
              </w:rPr>
              <w:t>-</w:t>
            </w:r>
            <w:r>
              <w:rPr>
                <w:rFonts w:hint="eastAsia" w:hAnsi="宋体" w:cs="Courier New"/>
                <w:snapToGrid w:val="0"/>
                <w:kern w:val="0"/>
                <w:sz w:val="24"/>
                <w:szCs w:val="24"/>
              </w:rPr>
              <w:t>生态影响》（</w:t>
            </w:r>
            <w:r>
              <w:rPr>
                <w:rFonts w:hAnsi="宋体" w:cs="Courier New"/>
                <w:snapToGrid w:val="0"/>
                <w:kern w:val="0"/>
                <w:sz w:val="24"/>
                <w:szCs w:val="24"/>
              </w:rPr>
              <w:t>HJ19-2011</w:t>
            </w:r>
            <w:r>
              <w:rPr>
                <w:rFonts w:hint="eastAsia" w:hAnsi="宋体" w:cs="Courier New"/>
                <w:snapToGrid w:val="0"/>
                <w:kern w:val="0"/>
                <w:sz w:val="24"/>
                <w:szCs w:val="24"/>
              </w:rPr>
              <w:t>）；</w:t>
            </w:r>
          </w:p>
          <w:p>
            <w:pPr>
              <w:pStyle w:val="10"/>
              <w:spacing w:line="360" w:lineRule="auto"/>
              <w:ind w:firstLine="480" w:firstLineChars="200"/>
              <w:rPr>
                <w:rFonts w:hint="eastAsia" w:hAnsi="宋体" w:cs="Courier New"/>
                <w:snapToGrid w:val="0"/>
                <w:kern w:val="0"/>
                <w:sz w:val="24"/>
                <w:szCs w:val="24"/>
              </w:rPr>
            </w:pPr>
            <w:r>
              <w:rPr>
                <w:rFonts w:hint="eastAsia" w:hAnsi="宋体" w:cs="Courier New"/>
                <w:snapToGrid w:val="0"/>
                <w:kern w:val="0"/>
                <w:sz w:val="24"/>
                <w:szCs w:val="24"/>
              </w:rPr>
              <w:t>（</w:t>
            </w:r>
            <w:r>
              <w:rPr>
                <w:rFonts w:hAnsi="宋体" w:cs="Courier New"/>
                <w:snapToGrid w:val="0"/>
                <w:kern w:val="0"/>
                <w:sz w:val="24"/>
                <w:szCs w:val="24"/>
              </w:rPr>
              <w:t>4</w:t>
            </w:r>
            <w:r>
              <w:rPr>
                <w:rFonts w:hint="eastAsia" w:hAnsi="宋体" w:cs="Courier New"/>
                <w:snapToGrid w:val="0"/>
                <w:kern w:val="0"/>
                <w:sz w:val="24"/>
                <w:szCs w:val="24"/>
              </w:rPr>
              <w:t>）《环境影响评价技术导则</w:t>
            </w:r>
            <w:r>
              <w:rPr>
                <w:rFonts w:hAnsi="宋体" w:cs="Courier New"/>
                <w:snapToGrid w:val="0"/>
                <w:kern w:val="0"/>
                <w:sz w:val="24"/>
                <w:szCs w:val="24"/>
              </w:rPr>
              <w:t>-</w:t>
            </w:r>
            <w:r>
              <w:rPr>
                <w:rFonts w:hint="eastAsia" w:hAnsi="宋体" w:cs="Courier New"/>
                <w:snapToGrid w:val="0"/>
                <w:kern w:val="0"/>
                <w:sz w:val="24"/>
                <w:szCs w:val="24"/>
              </w:rPr>
              <w:t>输变电工程》（</w:t>
            </w:r>
            <w:r>
              <w:rPr>
                <w:rFonts w:hAnsi="宋体" w:cs="Courier New"/>
                <w:snapToGrid w:val="0"/>
                <w:kern w:val="0"/>
                <w:sz w:val="24"/>
                <w:szCs w:val="24"/>
              </w:rPr>
              <w:t>HJ24-2014</w:t>
            </w:r>
            <w:r>
              <w:rPr>
                <w:rFonts w:hint="eastAsia" w:hAnsi="宋体" w:cs="Courier New"/>
                <w:snapToGrid w:val="0"/>
                <w:kern w:val="0"/>
                <w:sz w:val="24"/>
                <w:szCs w:val="24"/>
              </w:rPr>
              <w:t>）；</w:t>
            </w:r>
          </w:p>
          <w:p>
            <w:pPr>
              <w:pStyle w:val="10"/>
              <w:spacing w:line="360" w:lineRule="auto"/>
              <w:ind w:firstLine="480" w:firstLineChars="200"/>
              <w:rPr>
                <w:rFonts w:hint="eastAsia" w:hAnsi="宋体" w:cs="Courier New"/>
                <w:snapToGrid w:val="0"/>
                <w:kern w:val="0"/>
                <w:sz w:val="24"/>
                <w:szCs w:val="24"/>
              </w:rPr>
            </w:pPr>
            <w:r>
              <w:rPr>
                <w:rFonts w:hint="eastAsia" w:hAnsi="宋体" w:cs="Courier New"/>
                <w:snapToGrid w:val="0"/>
                <w:kern w:val="0"/>
                <w:sz w:val="24"/>
                <w:szCs w:val="24"/>
                <w:lang w:eastAsia="zh-CN"/>
              </w:rPr>
              <w:t>（</w:t>
            </w:r>
            <w:r>
              <w:rPr>
                <w:rFonts w:hint="eastAsia" w:hAnsi="宋体" w:cs="Courier New"/>
                <w:snapToGrid w:val="0"/>
                <w:kern w:val="0"/>
                <w:sz w:val="24"/>
                <w:szCs w:val="24"/>
                <w:lang w:val="en-US" w:eastAsia="zh-CN"/>
              </w:rPr>
              <w:t>5</w:t>
            </w:r>
            <w:r>
              <w:rPr>
                <w:rFonts w:hint="eastAsia" w:hAnsi="宋体" w:cs="Courier New"/>
                <w:snapToGrid w:val="0"/>
                <w:kern w:val="0"/>
                <w:sz w:val="24"/>
                <w:szCs w:val="24"/>
                <w:lang w:eastAsia="zh-CN"/>
              </w:rPr>
              <w:t>）</w:t>
            </w:r>
            <w:r>
              <w:rPr>
                <w:rFonts w:hint="eastAsia" w:hAnsi="宋体" w:cs="Courier New"/>
                <w:snapToGrid w:val="0"/>
                <w:kern w:val="0"/>
                <w:sz w:val="24"/>
                <w:szCs w:val="24"/>
              </w:rPr>
              <w:t>《环境影响评价技术导则－地面水环境》（HJ/T2.3-</w:t>
            </w:r>
            <w:r>
              <w:rPr>
                <w:rFonts w:hint="eastAsia" w:hAnsi="宋体" w:cs="Courier New"/>
                <w:snapToGrid w:val="0"/>
                <w:kern w:val="0"/>
                <w:sz w:val="24"/>
                <w:szCs w:val="24"/>
                <w:lang w:val="en-US" w:eastAsia="zh-CN"/>
              </w:rPr>
              <w:t>2018</w:t>
            </w:r>
            <w:r>
              <w:rPr>
                <w:rFonts w:hint="eastAsia" w:hAnsi="宋体" w:cs="Courier New"/>
                <w:snapToGrid w:val="0"/>
                <w:kern w:val="0"/>
                <w:sz w:val="24"/>
                <w:szCs w:val="24"/>
              </w:rPr>
              <w:t>）；</w:t>
            </w:r>
          </w:p>
          <w:p>
            <w:pPr>
              <w:pStyle w:val="10"/>
              <w:spacing w:line="360" w:lineRule="auto"/>
              <w:ind w:firstLine="480" w:firstLineChars="200"/>
              <w:rPr>
                <w:rFonts w:hAnsi="宋体"/>
                <w:snapToGrid w:val="0"/>
                <w:kern w:val="0"/>
                <w:sz w:val="24"/>
                <w:szCs w:val="24"/>
              </w:rPr>
            </w:pPr>
            <w:r>
              <w:rPr>
                <w:rFonts w:hint="eastAsia" w:hAnsi="宋体"/>
                <w:snapToGrid w:val="0"/>
                <w:kern w:val="0"/>
                <w:sz w:val="24"/>
                <w:szCs w:val="24"/>
              </w:rPr>
              <w:t>（</w:t>
            </w:r>
            <w:r>
              <w:rPr>
                <w:rFonts w:hint="eastAsia" w:hAnsi="宋体"/>
                <w:snapToGrid w:val="0"/>
                <w:kern w:val="0"/>
                <w:sz w:val="24"/>
                <w:szCs w:val="24"/>
                <w:lang w:val="en-US" w:eastAsia="zh-CN"/>
              </w:rPr>
              <w:t>6</w:t>
            </w:r>
            <w:r>
              <w:rPr>
                <w:rFonts w:hint="eastAsia" w:hAnsi="宋体"/>
                <w:snapToGrid w:val="0"/>
                <w:kern w:val="0"/>
                <w:sz w:val="24"/>
                <w:szCs w:val="24"/>
              </w:rPr>
              <w:t>）《声环境质量标准》（GB3096-2008）；</w:t>
            </w:r>
          </w:p>
          <w:p>
            <w:pPr>
              <w:adjustRightInd w:val="0"/>
              <w:spacing w:line="360" w:lineRule="auto"/>
              <w:ind w:firstLine="480" w:firstLineChars="200"/>
              <w:rPr>
                <w:rFonts w:ascii="宋体" w:hAnsi="宋体" w:cs="Courier New"/>
                <w:snapToGrid w:val="0"/>
                <w:kern w:val="0"/>
                <w:sz w:val="24"/>
              </w:rPr>
            </w:pPr>
            <w:r>
              <w:rPr>
                <w:rFonts w:hint="eastAsia" w:ascii="宋体" w:hAnsi="宋体"/>
                <w:snapToGrid w:val="0"/>
                <w:kern w:val="0"/>
                <w:sz w:val="24"/>
              </w:rPr>
              <w:t>（</w:t>
            </w:r>
            <w:r>
              <w:rPr>
                <w:rFonts w:hint="eastAsia" w:ascii="宋体" w:hAnsi="宋体"/>
                <w:snapToGrid w:val="0"/>
                <w:kern w:val="0"/>
                <w:sz w:val="24"/>
                <w:lang w:val="en-US" w:eastAsia="zh-CN"/>
              </w:rPr>
              <w:t>7</w:t>
            </w:r>
            <w:r>
              <w:rPr>
                <w:rFonts w:hint="eastAsia" w:ascii="宋体" w:hAnsi="宋体"/>
                <w:snapToGrid w:val="0"/>
                <w:kern w:val="0"/>
                <w:sz w:val="24"/>
              </w:rPr>
              <w:t>）</w:t>
            </w:r>
            <w:r>
              <w:rPr>
                <w:rFonts w:ascii="宋体" w:hAnsi="宋体" w:cs="Courier New"/>
                <w:snapToGrid w:val="0"/>
                <w:kern w:val="0"/>
                <w:sz w:val="24"/>
              </w:rPr>
              <w:t>《工业企业厂界环境噪声排放标准》（GB12348-2008）；</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w:t>
            </w:r>
            <w:r>
              <w:rPr>
                <w:rFonts w:hint="eastAsia" w:ascii="宋体" w:hAnsi="宋体" w:cs="Courier New"/>
                <w:snapToGrid w:val="0"/>
                <w:kern w:val="0"/>
                <w:sz w:val="24"/>
                <w:lang w:val="en-US" w:eastAsia="zh-CN"/>
              </w:rPr>
              <w:t>8</w:t>
            </w:r>
            <w:r>
              <w:rPr>
                <w:rFonts w:hint="eastAsia" w:ascii="宋体" w:hAnsi="宋体" w:cs="Courier New"/>
                <w:snapToGrid w:val="0"/>
                <w:kern w:val="0"/>
                <w:sz w:val="24"/>
              </w:rPr>
              <w:t>）《声环境功能区划分技术规范》（GB/T15190-2014）；</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w:t>
            </w:r>
            <w:r>
              <w:rPr>
                <w:rFonts w:hint="eastAsia" w:ascii="宋体" w:hAnsi="宋体" w:cs="Courier New"/>
                <w:snapToGrid w:val="0"/>
                <w:kern w:val="0"/>
                <w:sz w:val="24"/>
                <w:lang w:val="en-US" w:eastAsia="zh-CN"/>
              </w:rPr>
              <w:t>9</w:t>
            </w:r>
            <w:r>
              <w:rPr>
                <w:rFonts w:hint="eastAsia" w:ascii="宋体" w:hAnsi="宋体" w:cs="Courier New"/>
                <w:snapToGrid w:val="0"/>
                <w:kern w:val="0"/>
                <w:sz w:val="24"/>
              </w:rPr>
              <w:t>）《环境噪声监测技术规范城市声环境常规监测》（HJ640-2012）；</w:t>
            </w:r>
          </w:p>
          <w:p>
            <w:pPr>
              <w:adjustRightInd w:val="0"/>
              <w:spacing w:line="360" w:lineRule="auto"/>
              <w:ind w:firstLine="480" w:firstLineChars="200"/>
              <w:rPr>
                <w:rFonts w:hint="eastAsia" w:ascii="宋体" w:hAnsi="宋体" w:cs="Courier New"/>
                <w:snapToGrid w:val="0"/>
                <w:kern w:val="0"/>
                <w:sz w:val="24"/>
              </w:rPr>
            </w:pPr>
            <w:r>
              <w:rPr>
                <w:rFonts w:hint="eastAsia" w:hAnsi="宋体"/>
                <w:snapToGrid w:val="0"/>
                <w:kern w:val="0"/>
                <w:sz w:val="24"/>
                <w:szCs w:val="24"/>
              </w:rPr>
              <w:t>（</w:t>
            </w:r>
            <w:r>
              <w:rPr>
                <w:rFonts w:hint="eastAsia" w:hAnsi="宋体"/>
                <w:snapToGrid w:val="0"/>
                <w:kern w:val="0"/>
                <w:sz w:val="24"/>
                <w:szCs w:val="24"/>
                <w:lang w:val="en-US" w:eastAsia="zh-CN"/>
              </w:rPr>
              <w:t>10</w:t>
            </w:r>
            <w:r>
              <w:rPr>
                <w:rFonts w:hint="eastAsia" w:hAnsi="宋体"/>
                <w:snapToGrid w:val="0"/>
                <w:kern w:val="0"/>
                <w:sz w:val="24"/>
                <w:szCs w:val="24"/>
              </w:rPr>
              <w:t>）</w:t>
            </w:r>
            <w:r>
              <w:rPr>
                <w:rFonts w:hAnsi="宋体"/>
                <w:snapToGrid w:val="0"/>
                <w:kern w:val="0"/>
                <w:sz w:val="24"/>
                <w:szCs w:val="24"/>
              </w:rPr>
              <w:t>《交流输变电工程电</w:t>
            </w:r>
            <w:r>
              <w:rPr>
                <w:rFonts w:hint="eastAsia" w:ascii="宋体" w:hAnsi="宋体" w:cs="Courier New"/>
                <w:snapToGrid w:val="0"/>
                <w:kern w:val="0"/>
                <w:sz w:val="24"/>
              </w:rPr>
              <w:t>磁环境监测方法（试行）》（HJ681-2013）；</w:t>
            </w:r>
          </w:p>
          <w:p>
            <w:pPr>
              <w:adjustRightInd w:val="0"/>
              <w:spacing w:line="360" w:lineRule="auto"/>
              <w:ind w:firstLine="480" w:firstLineChars="200"/>
              <w:rPr>
                <w:rFonts w:hint="eastAsia" w:ascii="宋体" w:hAnsi="宋体" w:cs="Courier New"/>
                <w:snapToGrid w:val="0"/>
                <w:kern w:val="0"/>
                <w:sz w:val="24"/>
              </w:rPr>
            </w:pPr>
            <w:r>
              <w:rPr>
                <w:rFonts w:hint="eastAsia" w:ascii="宋体" w:hAnsi="宋体" w:cs="Courier New"/>
                <w:snapToGrid w:val="0"/>
                <w:kern w:val="0"/>
                <w:sz w:val="24"/>
              </w:rPr>
              <w:t>（1</w:t>
            </w:r>
            <w:r>
              <w:rPr>
                <w:rFonts w:hint="eastAsia" w:ascii="宋体" w:hAnsi="宋体" w:cs="Courier New"/>
                <w:snapToGrid w:val="0"/>
                <w:kern w:val="0"/>
                <w:sz w:val="24"/>
                <w:lang w:val="en-US" w:eastAsia="zh-CN"/>
              </w:rPr>
              <w:t>1</w:t>
            </w:r>
            <w:r>
              <w:rPr>
                <w:rFonts w:hint="eastAsia" w:ascii="宋体" w:hAnsi="宋体" w:cs="Courier New"/>
                <w:snapToGrid w:val="0"/>
                <w:kern w:val="0"/>
                <w:sz w:val="24"/>
              </w:rPr>
              <w:t>）《35kV～110kV变电</w:t>
            </w:r>
            <w:r>
              <w:rPr>
                <w:rFonts w:hint="eastAsia" w:ascii="宋体" w:hAnsi="宋体" w:cs="Courier New"/>
                <w:snapToGrid w:val="0"/>
                <w:kern w:val="0"/>
                <w:sz w:val="24"/>
                <w:lang w:val="en-US" w:eastAsia="zh-CN"/>
              </w:rPr>
              <w:t>站</w:t>
            </w:r>
            <w:r>
              <w:rPr>
                <w:rFonts w:hint="eastAsia" w:ascii="宋体" w:hAnsi="宋体" w:cs="Courier New"/>
                <w:snapToGrid w:val="0"/>
                <w:kern w:val="0"/>
                <w:sz w:val="24"/>
              </w:rPr>
              <w:t>设计规范》（GB50059-2011）；</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（1</w:t>
            </w:r>
            <w:r>
              <w:rPr>
                <w:rFonts w:hint="eastAsia" w:ascii="宋体" w:hAnsi="宋体" w:cs="Courier New"/>
                <w:snapToGrid w:val="0"/>
                <w:kern w:val="0"/>
                <w:sz w:val="24"/>
                <w:lang w:val="en-US" w:eastAsia="zh-CN"/>
              </w:rPr>
              <w:t>2</w:t>
            </w:r>
            <w:r>
              <w:rPr>
                <w:rFonts w:hint="eastAsia" w:ascii="宋体" w:hAnsi="宋体" w:cs="Courier New"/>
                <w:snapToGrid w:val="0"/>
                <w:kern w:val="0"/>
                <w:sz w:val="24"/>
              </w:rPr>
              <w:t>）《高压交流架空送电线路、变电</w:t>
            </w:r>
            <w:r>
              <w:rPr>
                <w:rFonts w:ascii="宋体" w:hAnsi="宋体" w:cs="Courier New"/>
                <w:snapToGrid w:val="0"/>
                <w:kern w:val="0"/>
                <w:sz w:val="24"/>
              </w:rPr>
              <w:t>站工频电场和磁场测量方法》（DL/T988-2005）；</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（1</w:t>
            </w:r>
            <w:r>
              <w:rPr>
                <w:rFonts w:hint="eastAsia" w:ascii="宋体" w:hAnsi="宋体" w:cs="Courier New"/>
                <w:snapToGrid w:val="0"/>
                <w:kern w:val="0"/>
                <w:sz w:val="24"/>
                <w:lang w:val="en-US" w:eastAsia="zh-CN"/>
              </w:rPr>
              <w:t>3</w:t>
            </w:r>
            <w:r>
              <w:rPr>
                <w:rFonts w:hint="eastAsia" w:ascii="宋体" w:hAnsi="宋体" w:cs="Courier New"/>
                <w:snapToGrid w:val="0"/>
                <w:kern w:val="0"/>
                <w:sz w:val="24"/>
              </w:rPr>
              <w:t>）</w:t>
            </w:r>
            <w:r>
              <w:rPr>
                <w:rFonts w:ascii="宋体" w:hAnsi="宋体" w:cs="Courier New"/>
                <w:snapToGrid w:val="0"/>
                <w:kern w:val="0"/>
                <w:sz w:val="24"/>
              </w:rPr>
              <w:t>《危险废物贮存污染控制标准》（GB18597-2001）；</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（1</w:t>
            </w:r>
            <w:r>
              <w:rPr>
                <w:rFonts w:hint="eastAsia" w:ascii="宋体" w:hAnsi="宋体" w:cs="Courier New"/>
                <w:snapToGrid w:val="0"/>
                <w:kern w:val="0"/>
                <w:sz w:val="24"/>
                <w:lang w:val="en-US" w:eastAsia="zh-CN"/>
              </w:rPr>
              <w:t>4</w:t>
            </w:r>
            <w:r>
              <w:rPr>
                <w:rFonts w:hint="eastAsia" w:ascii="宋体" w:hAnsi="宋体" w:cs="Courier New"/>
                <w:snapToGrid w:val="0"/>
                <w:kern w:val="0"/>
                <w:sz w:val="24"/>
              </w:rPr>
              <w:t>）《电磁环境控制限值》（GB8702-2014）；</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（1</w:t>
            </w:r>
            <w:r>
              <w:rPr>
                <w:rFonts w:hint="eastAsia" w:ascii="宋体" w:hAnsi="宋体" w:cs="Courier New"/>
                <w:snapToGrid w:val="0"/>
                <w:kern w:val="0"/>
                <w:sz w:val="24"/>
                <w:lang w:val="en-US" w:eastAsia="zh-CN"/>
              </w:rPr>
              <w:t>5</w:t>
            </w:r>
            <w:r>
              <w:rPr>
                <w:rFonts w:hint="eastAsia" w:ascii="宋体" w:hAnsi="宋体" w:cs="Courier New"/>
                <w:snapToGrid w:val="0"/>
                <w:kern w:val="0"/>
                <w:sz w:val="24"/>
              </w:rPr>
              <w:t>）《废铅酸蓄电池处理污染控制技术规范》（HJ519-2009）；</w:t>
            </w:r>
          </w:p>
          <w:p>
            <w:pPr>
              <w:adjustRightInd w:val="0"/>
              <w:spacing w:line="360" w:lineRule="auto"/>
              <w:ind w:firstLine="480" w:firstLineChars="200"/>
              <w:rPr>
                <w:rFonts w:hint="eastAsia" w:ascii="宋体" w:hAnsi="宋体" w:cs="Courier New"/>
                <w:snapToGrid w:val="0"/>
                <w:kern w:val="0"/>
                <w:sz w:val="24"/>
                <w:lang w:eastAsia="zh-CN"/>
              </w:rPr>
            </w:pPr>
            <w:r>
              <w:rPr>
                <w:rFonts w:hint="eastAsia" w:ascii="宋体" w:hAnsi="宋体" w:cs="Courier New"/>
                <w:snapToGrid w:val="0"/>
                <w:kern w:val="0"/>
                <w:sz w:val="24"/>
              </w:rPr>
              <w:t>（1</w:t>
            </w:r>
            <w:r>
              <w:rPr>
                <w:rFonts w:hint="eastAsia" w:ascii="宋体" w:hAnsi="宋体" w:cs="Courier New"/>
                <w:snapToGrid w:val="0"/>
                <w:kern w:val="0"/>
                <w:sz w:val="24"/>
                <w:lang w:val="en-US" w:eastAsia="zh-CN"/>
              </w:rPr>
              <w:t>6</w:t>
            </w:r>
            <w:r>
              <w:rPr>
                <w:rFonts w:hint="eastAsia" w:ascii="宋体" w:hAnsi="宋体" w:cs="Courier New"/>
                <w:snapToGrid w:val="0"/>
                <w:kern w:val="0"/>
                <w:sz w:val="24"/>
              </w:rPr>
              <w:t>）《火力发电厂与变电所设计防火规范》（GB50229-2006）</w:t>
            </w:r>
            <w:r>
              <w:rPr>
                <w:rFonts w:hint="eastAsia" w:ascii="宋体" w:hAnsi="宋体" w:cs="Courier New"/>
                <w:snapToGrid w:val="0"/>
                <w:kern w:val="0"/>
                <w:sz w:val="24"/>
                <w:lang w:eastAsia="zh-CN"/>
              </w:rPr>
              <w:t>；</w:t>
            </w:r>
          </w:p>
          <w:p>
            <w:pPr>
              <w:spacing w:line="360" w:lineRule="auto"/>
              <w:outlineLvl w:val="2"/>
              <w:rPr>
                <w:rFonts w:ascii="黑体" w:eastAsia="黑体"/>
                <w:snapToGrid w:val="0"/>
                <w:kern w:val="0"/>
                <w:sz w:val="24"/>
              </w:rPr>
            </w:pPr>
            <w:r>
              <w:rPr>
                <w:rFonts w:ascii="黑体" w:eastAsia="黑体"/>
                <w:snapToGrid w:val="0"/>
                <w:kern w:val="0"/>
                <w:sz w:val="24"/>
              </w:rPr>
              <w:t xml:space="preserve">1.4.3 </w:t>
            </w:r>
            <w:r>
              <w:rPr>
                <w:rFonts w:hint="eastAsia" w:ascii="黑体" w:eastAsia="黑体"/>
                <w:snapToGrid w:val="0"/>
                <w:kern w:val="0"/>
                <w:sz w:val="24"/>
              </w:rPr>
              <w:t>相关文件及参考资料</w:t>
            </w:r>
          </w:p>
          <w:p>
            <w:pPr>
              <w:adjustRightInd w:val="0"/>
              <w:spacing w:line="360" w:lineRule="auto"/>
              <w:ind w:firstLine="480" w:firstLineChars="200"/>
              <w:rPr>
                <w:rFonts w:ascii="宋体" w:cs="Courier New"/>
                <w:snapToGrid w:val="0"/>
                <w:kern w:val="0"/>
                <w:sz w:val="24"/>
              </w:rPr>
            </w:pPr>
            <w:r>
              <w:rPr>
                <w:rFonts w:ascii="宋体" w:hAnsi="宋体" w:cs="Courier New"/>
                <w:snapToGrid w:val="0"/>
                <w:kern w:val="0"/>
                <w:sz w:val="24"/>
              </w:rPr>
              <w:t>1</w:t>
            </w:r>
            <w:r>
              <w:rPr>
                <w:rFonts w:hint="eastAsia" w:ascii="宋体" w:hAnsi="宋体" w:cs="Courier New"/>
                <w:snapToGrid w:val="0"/>
                <w:kern w:val="0"/>
                <w:sz w:val="24"/>
              </w:rPr>
              <w:t>、项目委托书；</w:t>
            </w:r>
          </w:p>
          <w:p>
            <w:pPr>
              <w:adjustRightInd w:val="0"/>
              <w:spacing w:line="360" w:lineRule="auto"/>
              <w:ind w:firstLine="480" w:firstLineChars="200"/>
              <w:rPr>
                <w:rFonts w:ascii="宋体" w:cs="Courier New"/>
                <w:snapToGrid w:val="0"/>
                <w:kern w:val="0"/>
                <w:sz w:val="24"/>
              </w:rPr>
            </w:pPr>
            <w:r>
              <w:rPr>
                <w:rFonts w:ascii="宋体" w:hAnsi="宋体" w:cs="Courier New"/>
                <w:snapToGrid w:val="0"/>
                <w:kern w:val="0"/>
                <w:sz w:val="24"/>
              </w:rPr>
              <w:t>2</w:t>
            </w:r>
            <w:r>
              <w:rPr>
                <w:rFonts w:hint="eastAsia" w:ascii="宋体" w:hAnsi="宋体" w:cs="Courier New"/>
                <w:snapToGrid w:val="0"/>
                <w:kern w:val="0"/>
                <w:sz w:val="24"/>
              </w:rPr>
              <w:t>、</w:t>
            </w:r>
            <w:r>
              <w:rPr>
                <w:rFonts w:hint="eastAsia" w:ascii="宋体" w:hAnsi="宋体"/>
                <w:sz w:val="24"/>
              </w:rPr>
              <w:t>青岛特殊钢铁有限公司提供的相关资料</w:t>
            </w:r>
            <w:r>
              <w:rPr>
                <w:rFonts w:hint="eastAsia" w:ascii="宋体" w:hAnsi="宋体" w:cs="Courier New"/>
                <w:snapToGrid w:val="0"/>
                <w:kern w:val="0"/>
                <w:sz w:val="24"/>
              </w:rPr>
              <w:t>。</w:t>
            </w:r>
          </w:p>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1.5 </w:t>
            </w:r>
            <w:r>
              <w:rPr>
                <w:rFonts w:hint="eastAsia" w:ascii="黑体" w:eastAsia="黑体"/>
                <w:snapToGrid w:val="0"/>
                <w:kern w:val="0"/>
                <w:sz w:val="28"/>
                <w:szCs w:val="28"/>
              </w:rPr>
              <w:t>评价因子、评价重点及评价等级</w:t>
            </w:r>
          </w:p>
          <w:p>
            <w:pPr>
              <w:adjustRightInd w:val="0"/>
              <w:spacing w:line="360" w:lineRule="auto"/>
              <w:rPr>
                <w:rFonts w:hint="eastAsia" w:ascii="宋体" w:hAnsi="宋体"/>
                <w:sz w:val="24"/>
              </w:rPr>
            </w:pPr>
            <w:r>
              <w:rPr>
                <w:rFonts w:ascii="黑体" w:eastAsia="黑体"/>
                <w:snapToGrid w:val="0"/>
                <w:kern w:val="0"/>
                <w:sz w:val="24"/>
              </w:rPr>
              <w:t>1.</w:t>
            </w:r>
            <w:r>
              <w:rPr>
                <w:rFonts w:hint="eastAsia" w:ascii="黑体" w:eastAsia="黑体"/>
                <w:snapToGrid w:val="0"/>
                <w:kern w:val="0"/>
                <w:sz w:val="24"/>
              </w:rPr>
              <w:t>5</w:t>
            </w:r>
            <w:r>
              <w:rPr>
                <w:rFonts w:ascii="黑体" w:eastAsia="黑体"/>
                <w:snapToGrid w:val="0"/>
                <w:kern w:val="0"/>
                <w:sz w:val="24"/>
              </w:rPr>
              <w:t>.</w:t>
            </w:r>
            <w:r>
              <w:rPr>
                <w:rFonts w:hint="eastAsia" w:ascii="黑体" w:eastAsia="黑体"/>
                <w:snapToGrid w:val="0"/>
                <w:kern w:val="0"/>
                <w:sz w:val="24"/>
              </w:rPr>
              <w:t>1</w:t>
            </w:r>
            <w:r>
              <w:rPr>
                <w:rFonts w:ascii="黑体" w:eastAsia="黑体"/>
                <w:snapToGrid w:val="0"/>
                <w:kern w:val="0"/>
                <w:sz w:val="24"/>
              </w:rPr>
              <w:t xml:space="preserve"> </w:t>
            </w:r>
            <w:r>
              <w:rPr>
                <w:rFonts w:hint="eastAsia" w:ascii="黑体" w:eastAsia="黑体"/>
                <w:snapToGrid w:val="0"/>
                <w:kern w:val="0"/>
                <w:sz w:val="24"/>
              </w:rPr>
              <w:t>评价因子</w:t>
            </w:r>
          </w:p>
          <w:p>
            <w:pPr>
              <w:adjustRightInd w:val="0"/>
              <w:spacing w:line="360" w:lineRule="auto"/>
              <w:ind w:firstLine="480" w:firstLineChars="200"/>
              <w:rPr>
                <w:rFonts w:hint="eastAsia" w:ascii="宋体" w:hAnsi="宋体"/>
                <w:sz w:val="24"/>
                <w:lang w:val="en-US" w:eastAsia="zh-CN"/>
              </w:rPr>
            </w:pPr>
            <w:r>
              <w:rPr>
                <w:rFonts w:hint="eastAsia" w:ascii="宋体" w:hAnsi="宋体"/>
                <w:sz w:val="24"/>
                <w:lang w:val="en-US" w:eastAsia="zh-CN"/>
              </w:rPr>
              <w:t>青岛特钢炼铁鼓风110kV变配电站工程已建成投运，本次评价不涉及施工期建设，运行期评价因子为工频电场、工频磁场、昼间、夜间等效声级、生活污水和固体废物。</w:t>
            </w:r>
          </w:p>
          <w:p>
            <w:pPr>
              <w:adjustRightInd w:val="0"/>
              <w:spacing w:line="360" w:lineRule="auto"/>
              <w:rPr>
                <w:rFonts w:hint="eastAsia" w:ascii="黑体" w:eastAsia="黑体"/>
                <w:snapToGrid w:val="0"/>
                <w:kern w:val="0"/>
                <w:sz w:val="24"/>
                <w:lang w:val="en-US" w:eastAsia="zh-CN"/>
              </w:rPr>
            </w:pPr>
            <w:r>
              <w:rPr>
                <w:rFonts w:hint="eastAsia" w:ascii="黑体" w:eastAsia="黑体"/>
                <w:snapToGrid w:val="0"/>
                <w:kern w:val="0"/>
                <w:sz w:val="24"/>
                <w:lang w:val="en-US" w:eastAsia="zh-CN"/>
              </w:rPr>
              <w:t>1.5.2 评价重点</w:t>
            </w:r>
          </w:p>
          <w:p>
            <w:pPr>
              <w:adjustRightInd w:val="0"/>
              <w:spacing w:line="360" w:lineRule="auto"/>
              <w:ind w:firstLine="480" w:firstLineChars="200"/>
              <w:rPr>
                <w:rFonts w:ascii="宋体"/>
                <w:snapToGrid w:val="0"/>
                <w:kern w:val="0"/>
                <w:sz w:val="24"/>
              </w:rPr>
            </w:pPr>
            <w:r>
              <w:rPr>
                <w:rFonts w:hint="eastAsia" w:ascii="宋体"/>
                <w:snapToGrid w:val="0"/>
                <w:kern w:val="0"/>
                <w:sz w:val="24"/>
              </w:rPr>
              <w:t>本项目评价重点为工频电场、工频磁场及噪声对周围环境及环境保护目标的影响。</w:t>
            </w:r>
          </w:p>
          <w:p>
            <w:pPr>
              <w:spacing w:line="360" w:lineRule="auto"/>
              <w:outlineLvl w:val="2"/>
              <w:rPr>
                <w:rFonts w:ascii="黑体" w:eastAsia="黑体"/>
                <w:snapToGrid w:val="0"/>
                <w:kern w:val="0"/>
                <w:sz w:val="24"/>
              </w:rPr>
            </w:pPr>
            <w:r>
              <w:rPr>
                <w:rFonts w:ascii="黑体" w:eastAsia="黑体"/>
                <w:snapToGrid w:val="0"/>
                <w:kern w:val="0"/>
                <w:sz w:val="24"/>
              </w:rPr>
              <w:t>1.</w:t>
            </w:r>
            <w:r>
              <w:rPr>
                <w:rFonts w:hint="eastAsia" w:ascii="黑体" w:eastAsia="黑体"/>
                <w:snapToGrid w:val="0"/>
                <w:kern w:val="0"/>
                <w:sz w:val="24"/>
              </w:rPr>
              <w:t>5</w:t>
            </w:r>
            <w:r>
              <w:rPr>
                <w:rFonts w:ascii="黑体" w:eastAsia="黑体"/>
                <w:snapToGrid w:val="0"/>
                <w:kern w:val="0"/>
                <w:sz w:val="24"/>
              </w:rPr>
              <w:t>.</w:t>
            </w:r>
            <w:r>
              <w:rPr>
                <w:rFonts w:hint="eastAsia" w:ascii="黑体" w:eastAsia="黑体"/>
                <w:snapToGrid w:val="0"/>
                <w:kern w:val="0"/>
                <w:sz w:val="24"/>
              </w:rPr>
              <w:t>3</w:t>
            </w:r>
            <w:r>
              <w:rPr>
                <w:rFonts w:ascii="黑体" w:eastAsia="黑体"/>
                <w:snapToGrid w:val="0"/>
                <w:kern w:val="0"/>
                <w:sz w:val="24"/>
              </w:rPr>
              <w:t xml:space="preserve"> </w:t>
            </w:r>
            <w:r>
              <w:rPr>
                <w:rFonts w:hint="eastAsia" w:ascii="黑体" w:eastAsia="黑体"/>
                <w:snapToGrid w:val="0"/>
                <w:kern w:val="0"/>
                <w:sz w:val="24"/>
              </w:rPr>
              <w:t>评价等级</w:t>
            </w:r>
          </w:p>
          <w:p>
            <w:pPr>
              <w:adjustRightInd w:val="0"/>
              <w:spacing w:line="360" w:lineRule="auto"/>
              <w:ind w:firstLine="480" w:firstLineChars="200"/>
              <w:rPr>
                <w:rFonts w:ascii="宋体"/>
                <w:snapToGrid w:val="0"/>
                <w:kern w:val="0"/>
                <w:sz w:val="24"/>
              </w:rPr>
            </w:pPr>
            <w:r>
              <w:rPr>
                <w:rFonts w:ascii="宋体" w:hAnsi="宋体"/>
                <w:snapToGrid w:val="0"/>
                <w:kern w:val="0"/>
                <w:sz w:val="24"/>
              </w:rPr>
              <w:t>1</w:t>
            </w:r>
            <w:r>
              <w:rPr>
                <w:rFonts w:hint="eastAsia" w:ascii="宋体" w:hAnsi="宋体"/>
                <w:snapToGrid w:val="0"/>
                <w:kern w:val="0"/>
                <w:sz w:val="24"/>
              </w:rPr>
              <w:t>、电磁环境</w:t>
            </w:r>
          </w:p>
          <w:p>
            <w:pPr>
              <w:adjustRightInd w:val="0"/>
              <w:spacing w:line="360" w:lineRule="auto"/>
              <w:ind w:firstLine="480" w:firstLineChars="200"/>
              <w:rPr>
                <w:rFonts w:ascii="宋体" w:hAnsi="宋体"/>
                <w:color w:val="auto"/>
                <w:sz w:val="24"/>
                <w:highlight w:val="yellow"/>
              </w:rPr>
            </w:pPr>
            <w:r>
              <w:rPr>
                <w:rFonts w:hint="eastAsia" w:ascii="宋体" w:hAnsi="宋体"/>
                <w:sz w:val="24"/>
              </w:rPr>
              <w:t>根据《环境影响评价技术导则</w:t>
            </w:r>
            <w:r>
              <w:rPr>
                <w:rFonts w:ascii="宋体" w:hAnsi="宋体"/>
                <w:sz w:val="24"/>
              </w:rPr>
              <w:t>-</w:t>
            </w:r>
            <w:r>
              <w:rPr>
                <w:rFonts w:hint="eastAsia" w:ascii="宋体" w:hAnsi="宋体"/>
                <w:sz w:val="24"/>
              </w:rPr>
              <w:t>输变电工程》（</w:t>
            </w:r>
            <w:r>
              <w:rPr>
                <w:rFonts w:ascii="宋体" w:hAnsi="宋体"/>
                <w:sz w:val="24"/>
              </w:rPr>
              <w:t>HJ 24-2014</w:t>
            </w:r>
            <w:r>
              <w:rPr>
                <w:rFonts w:hint="eastAsia" w:ascii="宋体" w:hAnsi="宋体"/>
                <w:sz w:val="24"/>
              </w:rPr>
              <w:t>），本工程变电站为交流110kV户外式变电站，因此</w:t>
            </w:r>
            <w:r>
              <w:rPr>
                <w:rFonts w:ascii="宋体" w:hAnsi="宋体"/>
                <w:sz w:val="24"/>
              </w:rPr>
              <w:t>本次评价</w:t>
            </w:r>
            <w:r>
              <w:rPr>
                <w:rFonts w:hint="eastAsia" w:ascii="宋体" w:hAnsi="宋体"/>
                <w:sz w:val="24"/>
              </w:rPr>
              <w:t>变电站的</w:t>
            </w:r>
            <w:r>
              <w:rPr>
                <w:rFonts w:ascii="宋体" w:hAnsi="宋体"/>
                <w:sz w:val="24"/>
              </w:rPr>
              <w:t>工作</w:t>
            </w:r>
            <w:r>
              <w:rPr>
                <w:rFonts w:ascii="宋体" w:hAnsi="宋体"/>
                <w:color w:val="auto"/>
                <w:sz w:val="24"/>
              </w:rPr>
              <w:t>等级确定为二级</w:t>
            </w:r>
            <w:r>
              <w:rPr>
                <w:rFonts w:hint="eastAsia" w:ascii="宋体" w:hAnsi="宋体"/>
                <w:color w:val="auto"/>
                <w:sz w:val="24"/>
              </w:rPr>
              <w:t>；</w:t>
            </w:r>
            <w:r>
              <w:rPr>
                <w:rFonts w:hint="eastAsia" w:ascii="宋体" w:hAnsi="宋体"/>
                <w:color w:val="auto"/>
                <w:sz w:val="24"/>
                <w:highlight w:val="none"/>
              </w:rPr>
              <w:t>本工程</w:t>
            </w:r>
            <w:r>
              <w:rPr>
                <w:rFonts w:hint="eastAsia" w:ascii="宋体" w:hAnsi="宋体"/>
                <w:color w:val="auto"/>
                <w:sz w:val="24"/>
                <w:highlight w:val="none"/>
                <w:lang w:val="en-US" w:eastAsia="zh-CN"/>
              </w:rPr>
              <w:t>为线路为</w:t>
            </w:r>
            <w:r>
              <w:rPr>
                <w:rFonts w:hint="eastAsia" w:ascii="宋体" w:hAnsi="宋体" w:cs="Times New Roman"/>
                <w:color w:val="auto"/>
                <w:sz w:val="24"/>
                <w:lang w:val="en-US" w:eastAsia="zh-CN"/>
              </w:rPr>
              <w:t>空中</w:t>
            </w:r>
            <w:r>
              <w:rPr>
                <w:rFonts w:hint="eastAsia" w:ascii="宋体" w:hAnsi="宋体" w:cs="Times New Roman"/>
                <w:color w:val="auto"/>
                <w:sz w:val="24"/>
              </w:rPr>
              <w:t>电缆通廊内</w:t>
            </w:r>
            <w:r>
              <w:rPr>
                <w:rFonts w:hint="eastAsia" w:ascii="宋体" w:hAnsi="宋体" w:cs="Times New Roman"/>
                <w:color w:val="auto"/>
                <w:sz w:val="24"/>
                <w:lang w:val="en-US" w:eastAsia="zh-CN"/>
              </w:rPr>
              <w:t>电缆，</w:t>
            </w:r>
            <w:r>
              <w:rPr>
                <w:rFonts w:hint="eastAsia" w:ascii="宋体" w:hAnsi="宋体" w:cs="Times New Roman"/>
                <w:color w:val="auto"/>
                <w:sz w:val="24"/>
              </w:rPr>
              <w:t>按架空线路保守评价</w:t>
            </w:r>
            <w:r>
              <w:rPr>
                <w:rFonts w:hint="eastAsia" w:ascii="宋体" w:hAnsi="宋体"/>
                <w:color w:val="auto"/>
                <w:sz w:val="24"/>
                <w:highlight w:val="none"/>
              </w:rPr>
              <w:t>，根据</w:t>
            </w:r>
            <w:r>
              <w:rPr>
                <w:rFonts w:ascii="宋体" w:hAnsi="宋体"/>
                <w:color w:val="auto"/>
                <w:sz w:val="24"/>
                <w:highlight w:val="none"/>
              </w:rPr>
              <w:t>《</w:t>
            </w:r>
            <w:r>
              <w:rPr>
                <w:rFonts w:hint="eastAsia" w:ascii="宋体" w:hAnsi="宋体"/>
                <w:color w:val="auto"/>
                <w:sz w:val="24"/>
                <w:highlight w:val="none"/>
              </w:rPr>
              <w:t>环境影响评价技术导则-输变电工程</w:t>
            </w:r>
            <w:r>
              <w:rPr>
                <w:rFonts w:ascii="宋体" w:hAnsi="宋体"/>
                <w:color w:val="auto"/>
                <w:sz w:val="24"/>
                <w:highlight w:val="none"/>
              </w:rPr>
              <w:t>》（HJ</w:t>
            </w:r>
            <w:r>
              <w:rPr>
                <w:rFonts w:hint="eastAsia" w:ascii="宋体" w:hAnsi="宋体"/>
                <w:color w:val="auto"/>
                <w:sz w:val="24"/>
                <w:highlight w:val="none"/>
              </w:rPr>
              <w:t xml:space="preserve"> </w:t>
            </w:r>
            <w:r>
              <w:rPr>
                <w:rFonts w:ascii="宋体" w:hAnsi="宋体"/>
                <w:color w:val="auto"/>
                <w:sz w:val="24"/>
                <w:highlight w:val="none"/>
              </w:rPr>
              <w:t>24-</w:t>
            </w:r>
            <w:r>
              <w:rPr>
                <w:rFonts w:hint="eastAsia" w:ascii="宋体" w:hAnsi="宋体"/>
                <w:color w:val="auto"/>
                <w:sz w:val="24"/>
                <w:highlight w:val="none"/>
              </w:rPr>
              <w:t>2014</w:t>
            </w:r>
            <w:r>
              <w:rPr>
                <w:rFonts w:ascii="宋体" w:hAnsi="宋体"/>
                <w:color w:val="auto"/>
                <w:sz w:val="24"/>
                <w:highlight w:val="none"/>
              </w:rPr>
              <w:t>）</w:t>
            </w:r>
            <w:r>
              <w:rPr>
                <w:rFonts w:hint="eastAsia" w:ascii="宋体" w:hAnsi="宋体"/>
                <w:color w:val="auto"/>
                <w:sz w:val="24"/>
                <w:highlight w:val="none"/>
              </w:rPr>
              <w:t>规定</w:t>
            </w:r>
            <w:r>
              <w:rPr>
                <w:rFonts w:hint="eastAsia" w:ascii="宋体" w:hAnsi="宋体"/>
                <w:color w:val="auto"/>
                <w:sz w:val="24"/>
                <w:highlight w:val="none"/>
                <w:lang w:eastAsia="zh-CN"/>
              </w:rPr>
              <w:t>“</w:t>
            </w:r>
            <w:r>
              <w:rPr>
                <w:rFonts w:hint="eastAsia" w:ascii="宋体" w:hAnsi="宋体"/>
                <w:color w:val="auto"/>
                <w:sz w:val="24"/>
                <w:highlight w:val="none"/>
                <w:lang w:val="en-US" w:eastAsia="zh-CN"/>
              </w:rPr>
              <w:t>边导线地面投影点外两侧各10m范围内无电磁环境敏感目标</w:t>
            </w:r>
            <w:r>
              <w:rPr>
                <w:rFonts w:hint="eastAsia" w:ascii="宋体" w:hAnsi="宋体"/>
                <w:color w:val="auto"/>
                <w:sz w:val="24"/>
                <w:highlight w:val="none"/>
                <w:lang w:eastAsia="zh-CN"/>
              </w:rPr>
              <w:t>”</w:t>
            </w:r>
            <w:r>
              <w:rPr>
                <w:rFonts w:hint="eastAsia" w:ascii="宋体" w:hAnsi="宋体"/>
                <w:color w:val="auto"/>
                <w:sz w:val="24"/>
                <w:highlight w:val="none"/>
              </w:rPr>
              <w:t>，</w:t>
            </w:r>
            <w:r>
              <w:rPr>
                <w:rFonts w:ascii="宋体" w:hAnsi="宋体"/>
                <w:color w:val="auto"/>
                <w:sz w:val="24"/>
                <w:highlight w:val="none"/>
              </w:rPr>
              <w:t>本次评价</w:t>
            </w:r>
            <w:r>
              <w:rPr>
                <w:rFonts w:hint="eastAsia" w:ascii="宋体" w:hAnsi="宋体"/>
                <w:color w:val="auto"/>
                <w:sz w:val="24"/>
                <w:highlight w:val="none"/>
              </w:rPr>
              <w:t>输电线路的评价</w:t>
            </w:r>
            <w:r>
              <w:rPr>
                <w:rFonts w:ascii="宋体" w:hAnsi="宋体"/>
                <w:color w:val="auto"/>
                <w:sz w:val="24"/>
                <w:highlight w:val="none"/>
              </w:rPr>
              <w:t>工作等级确定为</w:t>
            </w:r>
            <w:r>
              <w:rPr>
                <w:rFonts w:hint="eastAsia" w:ascii="宋体" w:hAnsi="宋体"/>
                <w:color w:val="auto"/>
                <w:sz w:val="24"/>
                <w:highlight w:val="none"/>
                <w:lang w:val="en-US" w:eastAsia="zh-CN"/>
              </w:rPr>
              <w:t>三</w:t>
            </w:r>
            <w:r>
              <w:rPr>
                <w:rFonts w:ascii="宋体" w:hAnsi="宋体"/>
                <w:color w:val="auto"/>
                <w:sz w:val="24"/>
                <w:highlight w:val="none"/>
              </w:rPr>
              <w:t>级。</w:t>
            </w:r>
          </w:p>
          <w:p>
            <w:pPr>
              <w:adjustRightInd w:val="0"/>
              <w:spacing w:line="360" w:lineRule="auto"/>
              <w:ind w:firstLine="480" w:firstLineChars="200"/>
              <w:rPr>
                <w:rFonts w:ascii="宋体"/>
                <w:snapToGrid w:val="0"/>
                <w:kern w:val="0"/>
                <w:sz w:val="24"/>
              </w:rPr>
            </w:pPr>
            <w:r>
              <w:rPr>
                <w:rFonts w:ascii="宋体" w:hAnsi="宋体"/>
                <w:snapToGrid w:val="0"/>
                <w:kern w:val="0"/>
                <w:sz w:val="24"/>
              </w:rPr>
              <w:t>2</w:t>
            </w:r>
            <w:r>
              <w:rPr>
                <w:rFonts w:hint="eastAsia" w:ascii="宋体" w:hAnsi="宋体"/>
                <w:snapToGrid w:val="0"/>
                <w:kern w:val="0"/>
                <w:sz w:val="24"/>
              </w:rPr>
              <w:t>、声环境</w:t>
            </w:r>
          </w:p>
          <w:p>
            <w:pPr>
              <w:adjustRightInd w:val="0"/>
              <w:spacing w:line="360" w:lineRule="auto"/>
              <w:ind w:firstLine="480" w:firstLineChars="200"/>
              <w:rPr>
                <w:rFonts w:ascii="宋体"/>
                <w:snapToGrid w:val="0"/>
                <w:kern w:val="0"/>
                <w:sz w:val="24"/>
              </w:rPr>
            </w:pPr>
            <w:r>
              <w:rPr>
                <w:rFonts w:hint="eastAsia" w:ascii="宋体" w:hAnsi="宋体"/>
                <w:sz w:val="24"/>
                <w:lang w:val="en-US" w:eastAsia="zh-CN"/>
              </w:rPr>
              <w:t>炼铁鼓风110kV变电站</w:t>
            </w:r>
            <w:r>
              <w:rPr>
                <w:rFonts w:hint="eastAsia" w:ascii="宋体" w:hAnsi="宋体"/>
                <w:snapToGrid w:val="0"/>
                <w:kern w:val="0"/>
                <w:sz w:val="24"/>
              </w:rPr>
              <w:t>所在区域声环境功能区为《声环境质量标准》（</w:t>
            </w:r>
            <w:r>
              <w:rPr>
                <w:rFonts w:ascii="宋体" w:hAnsi="宋体"/>
                <w:snapToGrid w:val="0"/>
                <w:kern w:val="0"/>
                <w:sz w:val="24"/>
              </w:rPr>
              <w:t>GB3096-2008</w:t>
            </w:r>
            <w:r>
              <w:rPr>
                <w:rFonts w:hint="eastAsia" w:ascii="宋体" w:hAnsi="宋体"/>
                <w:snapToGrid w:val="0"/>
                <w:kern w:val="0"/>
                <w:sz w:val="24"/>
              </w:rPr>
              <w:t>）规定的3类地区，依据《环境影响评价技术导则</w:t>
            </w:r>
            <w:r>
              <w:rPr>
                <w:rFonts w:ascii="宋体" w:hAnsi="宋体"/>
                <w:snapToGrid w:val="0"/>
                <w:kern w:val="0"/>
                <w:sz w:val="24"/>
              </w:rPr>
              <w:t xml:space="preserve"> </w:t>
            </w:r>
            <w:r>
              <w:rPr>
                <w:rFonts w:hint="eastAsia" w:ascii="宋体" w:hAnsi="宋体"/>
                <w:snapToGrid w:val="0"/>
                <w:kern w:val="0"/>
                <w:sz w:val="24"/>
              </w:rPr>
              <w:t>声环境》（</w:t>
            </w:r>
            <w:r>
              <w:rPr>
                <w:rFonts w:ascii="宋体" w:hAnsi="宋体"/>
                <w:snapToGrid w:val="0"/>
                <w:kern w:val="0"/>
                <w:sz w:val="24"/>
              </w:rPr>
              <w:t>HJ2.4-2009</w:t>
            </w:r>
            <w:r>
              <w:rPr>
                <w:rFonts w:hint="eastAsia" w:ascii="宋体" w:hAnsi="宋体"/>
                <w:snapToGrid w:val="0"/>
                <w:kern w:val="0"/>
                <w:sz w:val="24"/>
              </w:rPr>
              <w:t>）</w:t>
            </w:r>
            <w:r>
              <w:rPr>
                <w:rFonts w:ascii="宋体" w:hAnsi="宋体"/>
                <w:snapToGrid w:val="0"/>
                <w:kern w:val="0"/>
                <w:sz w:val="24"/>
              </w:rPr>
              <w:t>5.2.</w:t>
            </w:r>
            <w:r>
              <w:rPr>
                <w:rFonts w:hint="eastAsia" w:ascii="宋体" w:hAnsi="宋体"/>
                <w:snapToGrid w:val="0"/>
                <w:kern w:val="0"/>
                <w:sz w:val="24"/>
              </w:rPr>
              <w:t>4规定：“建设项目所处的声环境功能区为</w:t>
            </w:r>
            <w:r>
              <w:rPr>
                <w:rFonts w:ascii="宋体" w:hAnsi="宋体"/>
                <w:snapToGrid w:val="0"/>
                <w:kern w:val="0"/>
                <w:sz w:val="24"/>
              </w:rPr>
              <w:t>GB3096</w:t>
            </w:r>
            <w:r>
              <w:rPr>
                <w:rFonts w:hint="eastAsia" w:ascii="宋体" w:hAnsi="宋体"/>
                <w:snapToGrid w:val="0"/>
                <w:kern w:val="0"/>
                <w:sz w:val="24"/>
              </w:rPr>
              <w:t>规定的3类、4类地区，或建设项目建设前后评价范围内敏感目标噪声级增高在3dB（A）以下[不含3dB（A）</w:t>
            </w:r>
            <w:r>
              <w:rPr>
                <w:rFonts w:ascii="宋体" w:hAnsi="宋体"/>
                <w:snapToGrid w:val="0"/>
                <w:kern w:val="0"/>
                <w:sz w:val="24"/>
              </w:rPr>
              <w:t>]</w:t>
            </w:r>
            <w:r>
              <w:rPr>
                <w:rFonts w:hint="eastAsia" w:ascii="宋体" w:hAnsi="宋体"/>
                <w:snapToGrid w:val="0"/>
                <w:kern w:val="0"/>
                <w:sz w:val="24"/>
              </w:rPr>
              <w:t>，且受影响人口数量变化不大时，按三级评价”，因此本工程声环境评价工作等级为三级评价。</w:t>
            </w:r>
          </w:p>
          <w:p>
            <w:pPr>
              <w:adjustRightInd w:val="0"/>
              <w:spacing w:line="360" w:lineRule="auto"/>
              <w:ind w:firstLine="480" w:firstLineChars="200"/>
              <w:rPr>
                <w:rFonts w:ascii="宋体"/>
                <w:snapToGrid w:val="0"/>
                <w:kern w:val="0"/>
                <w:sz w:val="24"/>
              </w:rPr>
            </w:pPr>
            <w:r>
              <w:rPr>
                <w:rFonts w:ascii="宋体" w:hAnsi="宋体"/>
                <w:snapToGrid w:val="0"/>
                <w:kern w:val="0"/>
                <w:sz w:val="24"/>
              </w:rPr>
              <w:t>3</w:t>
            </w:r>
            <w:r>
              <w:rPr>
                <w:rFonts w:hint="eastAsia" w:ascii="宋体" w:hAnsi="宋体"/>
                <w:snapToGrid w:val="0"/>
                <w:kern w:val="0"/>
                <w:sz w:val="24"/>
              </w:rPr>
              <w:t>、生态环境</w:t>
            </w:r>
          </w:p>
          <w:p>
            <w:pPr>
              <w:adjustRightInd w:val="0"/>
              <w:spacing w:line="360" w:lineRule="auto"/>
              <w:ind w:firstLine="480" w:firstLineChars="200"/>
              <w:rPr>
                <w:rFonts w:ascii="宋体" w:hAnsi="宋体"/>
                <w:snapToGrid w:val="0"/>
                <w:kern w:val="0"/>
                <w:sz w:val="24"/>
              </w:rPr>
            </w:pPr>
            <w:r>
              <w:rPr>
                <w:rFonts w:hint="eastAsia" w:ascii="宋体" w:hAnsi="宋体"/>
                <w:sz w:val="24"/>
              </w:rPr>
              <w:t>青岛特钢</w:t>
            </w:r>
            <w:r>
              <w:rPr>
                <w:rFonts w:hint="eastAsia" w:ascii="宋体" w:hAnsi="宋体"/>
                <w:sz w:val="24"/>
                <w:lang w:val="en-US" w:eastAsia="zh-CN"/>
              </w:rPr>
              <w:t>炼铁鼓风110kV变配电站工程</w:t>
            </w:r>
            <w:r>
              <w:rPr>
                <w:rFonts w:hint="eastAsia" w:ascii="宋体" w:hAnsi="宋体"/>
                <w:snapToGrid w:val="0"/>
                <w:kern w:val="0"/>
                <w:sz w:val="24"/>
              </w:rPr>
              <w:t>不涉及特殊及重要生态敏感区，属一般区域，且站址占地面积＜</w:t>
            </w:r>
            <w:r>
              <w:rPr>
                <w:rFonts w:ascii="宋体" w:hAnsi="宋体"/>
                <w:snapToGrid w:val="0"/>
                <w:kern w:val="0"/>
                <w:sz w:val="24"/>
              </w:rPr>
              <w:t>2km</w:t>
            </w:r>
            <w:r>
              <w:rPr>
                <w:rFonts w:ascii="宋体" w:hAnsi="宋体"/>
                <w:snapToGrid w:val="0"/>
                <w:kern w:val="0"/>
                <w:sz w:val="24"/>
                <w:vertAlign w:val="superscript"/>
              </w:rPr>
              <w:t>2</w:t>
            </w:r>
            <w:r>
              <w:rPr>
                <w:rFonts w:hint="eastAsia" w:ascii="宋体" w:hAnsi="宋体"/>
                <w:snapToGrid w:val="0"/>
                <w:kern w:val="0"/>
                <w:sz w:val="24"/>
              </w:rPr>
              <w:t>，</w:t>
            </w:r>
            <w:r>
              <w:rPr>
                <w:rFonts w:hint="eastAsia" w:ascii="宋体" w:hAnsi="宋体"/>
                <w:sz w:val="24"/>
              </w:rPr>
              <w:t>线路长度小于50</w:t>
            </w:r>
            <w:r>
              <w:rPr>
                <w:rFonts w:ascii="宋体" w:hAnsi="宋体"/>
                <w:sz w:val="24"/>
              </w:rPr>
              <w:t>km</w:t>
            </w:r>
            <w:r>
              <w:rPr>
                <w:rFonts w:hint="eastAsia" w:ascii="宋体" w:hAnsi="宋体"/>
                <w:sz w:val="24"/>
              </w:rPr>
              <w:t>，</w:t>
            </w:r>
            <w:r>
              <w:rPr>
                <w:rFonts w:hint="eastAsia" w:ascii="宋体" w:hAnsi="宋体"/>
                <w:snapToGrid w:val="0"/>
                <w:kern w:val="0"/>
                <w:sz w:val="24"/>
              </w:rPr>
              <w:t>按照《环境影响评价技术导则</w:t>
            </w:r>
            <w:r>
              <w:rPr>
                <w:rFonts w:ascii="宋体" w:hAnsi="宋体"/>
                <w:snapToGrid w:val="0"/>
                <w:kern w:val="0"/>
                <w:sz w:val="24"/>
              </w:rPr>
              <w:t xml:space="preserve"> </w:t>
            </w:r>
            <w:r>
              <w:rPr>
                <w:rFonts w:hint="eastAsia" w:ascii="宋体" w:hAnsi="宋体"/>
                <w:snapToGrid w:val="0"/>
                <w:kern w:val="0"/>
                <w:sz w:val="24"/>
              </w:rPr>
              <w:t>生态影响》（</w:t>
            </w:r>
            <w:r>
              <w:rPr>
                <w:rFonts w:ascii="宋体" w:hAnsi="宋体"/>
                <w:snapToGrid w:val="0"/>
                <w:kern w:val="0"/>
                <w:sz w:val="24"/>
              </w:rPr>
              <w:t>HJ19-2011</w:t>
            </w:r>
            <w:r>
              <w:rPr>
                <w:rFonts w:hint="eastAsia" w:ascii="宋体" w:hAnsi="宋体"/>
                <w:snapToGrid w:val="0"/>
                <w:kern w:val="0"/>
                <w:sz w:val="24"/>
              </w:rPr>
              <w:t>）表1的相关规定，本工程生态环境影响评价工作等级为三级评价。</w:t>
            </w:r>
          </w:p>
          <w:p>
            <w:pPr>
              <w:adjustRightInd w:val="0"/>
              <w:spacing w:line="360" w:lineRule="auto"/>
              <w:ind w:firstLine="480" w:firstLineChars="200"/>
              <w:rPr>
                <w:rFonts w:ascii="宋体"/>
                <w:snapToGrid w:val="0"/>
                <w:kern w:val="0"/>
                <w:sz w:val="24"/>
              </w:rPr>
            </w:pPr>
            <w:r>
              <w:rPr>
                <w:rFonts w:ascii="宋体" w:hAnsi="宋体"/>
                <w:snapToGrid w:val="0"/>
                <w:kern w:val="0"/>
                <w:sz w:val="24"/>
              </w:rPr>
              <w:t>4</w:t>
            </w:r>
            <w:r>
              <w:rPr>
                <w:rFonts w:hint="eastAsia" w:ascii="宋体" w:hAnsi="宋体"/>
                <w:snapToGrid w:val="0"/>
                <w:kern w:val="0"/>
                <w:sz w:val="24"/>
              </w:rPr>
              <w:t>、地表水</w:t>
            </w:r>
          </w:p>
          <w:p>
            <w:pPr>
              <w:adjustRightInd w:val="0"/>
              <w:spacing w:line="360" w:lineRule="auto"/>
              <w:ind w:firstLine="480" w:firstLineChars="200"/>
              <w:rPr>
                <w:rFonts w:ascii="宋体"/>
                <w:snapToGrid w:val="0"/>
                <w:kern w:val="0"/>
                <w:sz w:val="24"/>
              </w:rPr>
            </w:pPr>
            <w:r>
              <w:rPr>
                <w:rFonts w:hint="eastAsia" w:ascii="宋体" w:hAnsi="宋体"/>
                <w:sz w:val="24"/>
              </w:rPr>
              <w:t>特钢</w:t>
            </w:r>
            <w:r>
              <w:rPr>
                <w:rFonts w:hint="eastAsia" w:ascii="宋体" w:hAnsi="宋体"/>
                <w:sz w:val="24"/>
                <w:lang w:val="en-US" w:eastAsia="zh-CN"/>
              </w:rPr>
              <w:t>炼铁鼓风110kV变电站</w:t>
            </w:r>
            <w:r>
              <w:rPr>
                <w:rFonts w:hint="eastAsia" w:ascii="宋体" w:hAnsi="宋体"/>
                <w:snapToGrid w:val="0"/>
                <w:kern w:val="0"/>
                <w:sz w:val="24"/>
              </w:rPr>
              <w:t>，站内</w:t>
            </w:r>
            <w:r>
              <w:rPr>
                <w:rFonts w:hint="eastAsia" w:ascii="宋体" w:hAnsi="宋体"/>
                <w:snapToGrid w:val="0"/>
                <w:kern w:val="0"/>
                <w:sz w:val="24"/>
                <w:lang w:val="en-US" w:eastAsia="zh-CN"/>
              </w:rPr>
              <w:t>平时无</w:t>
            </w:r>
            <w:r>
              <w:rPr>
                <w:rFonts w:hint="eastAsia" w:ascii="宋体" w:hAnsi="宋体"/>
                <w:snapToGrid w:val="0"/>
                <w:kern w:val="0"/>
                <w:sz w:val="24"/>
              </w:rPr>
              <w:t>人值守，在运行过程中</w:t>
            </w:r>
            <w:r>
              <w:rPr>
                <w:rFonts w:hint="eastAsia" w:ascii="宋体" w:hAnsi="宋体"/>
                <w:snapToGrid w:val="0"/>
                <w:kern w:val="0"/>
                <w:sz w:val="24"/>
                <w:lang w:val="en-US" w:eastAsia="zh-CN"/>
              </w:rPr>
              <w:t>偶有</w:t>
            </w:r>
            <w:r>
              <w:rPr>
                <w:rFonts w:hint="eastAsia" w:ascii="宋体" w:hAnsi="宋体"/>
                <w:snapToGrid w:val="0"/>
                <w:kern w:val="0"/>
                <w:sz w:val="24"/>
              </w:rPr>
              <w:t>运检人员会产生少量生活污水，产生量远</w:t>
            </w:r>
            <w:r>
              <w:rPr>
                <w:rFonts w:hint="eastAsia" w:ascii="宋体" w:hAnsi="宋体"/>
                <w:snapToGrid w:val="0"/>
                <w:color w:val="auto"/>
                <w:kern w:val="0"/>
                <w:sz w:val="24"/>
              </w:rPr>
              <w:t>小于</w:t>
            </w:r>
            <w:r>
              <w:rPr>
                <w:rFonts w:ascii="宋体" w:hAnsi="宋体"/>
                <w:snapToGrid w:val="0"/>
                <w:color w:val="auto"/>
                <w:kern w:val="0"/>
                <w:sz w:val="24"/>
              </w:rPr>
              <w:t>200m</w:t>
            </w:r>
            <w:r>
              <w:rPr>
                <w:rFonts w:ascii="宋体" w:hAnsi="宋体"/>
                <w:snapToGrid w:val="0"/>
                <w:color w:val="auto"/>
                <w:kern w:val="0"/>
                <w:sz w:val="24"/>
                <w:vertAlign w:val="superscript"/>
              </w:rPr>
              <w:t>3</w:t>
            </w:r>
            <w:r>
              <w:rPr>
                <w:rFonts w:ascii="宋体" w:hAnsi="宋体"/>
                <w:snapToGrid w:val="0"/>
                <w:color w:val="auto"/>
                <w:kern w:val="0"/>
                <w:sz w:val="24"/>
              </w:rPr>
              <w:t>/d</w:t>
            </w:r>
            <w:r>
              <w:rPr>
                <w:rFonts w:hint="eastAsia" w:ascii="宋体" w:hAnsi="宋体"/>
                <w:snapToGrid w:val="0"/>
                <w:color w:val="auto"/>
                <w:kern w:val="0"/>
                <w:sz w:val="24"/>
              </w:rPr>
              <w:t>。根据《环境影响评价技术导则－地面水环境》（</w:t>
            </w:r>
            <w:r>
              <w:rPr>
                <w:rFonts w:ascii="宋体" w:hAnsi="宋体"/>
                <w:snapToGrid w:val="0"/>
                <w:color w:val="auto"/>
                <w:kern w:val="0"/>
                <w:sz w:val="24"/>
              </w:rPr>
              <w:t>HJ/T2.3-</w:t>
            </w:r>
            <w:r>
              <w:rPr>
                <w:rFonts w:hint="eastAsia" w:ascii="宋体" w:hAnsi="宋体"/>
                <w:snapToGrid w:val="0"/>
                <w:color w:val="auto"/>
                <w:kern w:val="0"/>
                <w:sz w:val="24"/>
                <w:lang w:val="en-US" w:eastAsia="zh-CN"/>
              </w:rPr>
              <w:t>2018</w:t>
            </w:r>
            <w:r>
              <w:rPr>
                <w:rFonts w:hint="eastAsia" w:ascii="宋体" w:hAnsi="宋体"/>
                <w:snapToGrid w:val="0"/>
                <w:color w:val="auto"/>
                <w:kern w:val="0"/>
                <w:sz w:val="24"/>
              </w:rPr>
              <w:t>），本工程水环</w:t>
            </w:r>
            <w:r>
              <w:rPr>
                <w:rFonts w:hint="eastAsia" w:ascii="宋体" w:hAnsi="宋体"/>
                <w:snapToGrid w:val="0"/>
                <w:kern w:val="0"/>
                <w:sz w:val="24"/>
              </w:rPr>
              <w:t>境影响评价以分析说明为主。</w:t>
            </w:r>
          </w:p>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1.6 </w:t>
            </w:r>
            <w:r>
              <w:rPr>
                <w:rFonts w:hint="eastAsia" w:ascii="黑体" w:eastAsia="黑体"/>
                <w:snapToGrid w:val="0"/>
                <w:kern w:val="0"/>
                <w:sz w:val="28"/>
                <w:szCs w:val="28"/>
              </w:rPr>
              <w:t>评价范围</w:t>
            </w:r>
          </w:p>
          <w:p>
            <w:pPr>
              <w:spacing w:line="360" w:lineRule="auto"/>
              <w:ind w:firstLine="480" w:firstLineChars="200"/>
              <w:rPr>
                <w:rFonts w:ascii="宋体"/>
                <w:snapToGrid w:val="0"/>
                <w:kern w:val="0"/>
                <w:sz w:val="24"/>
              </w:rPr>
            </w:pPr>
            <w:r>
              <w:rPr>
                <w:rFonts w:hint="eastAsia" w:ascii="宋体" w:hAnsi="宋体"/>
                <w:snapToGrid w:val="0"/>
                <w:kern w:val="0"/>
                <w:sz w:val="24"/>
              </w:rPr>
              <w:t>根据《环境影响评价技术导则</w:t>
            </w:r>
            <w:r>
              <w:rPr>
                <w:rFonts w:ascii="宋体" w:hAnsi="宋体"/>
                <w:snapToGrid w:val="0"/>
                <w:kern w:val="0"/>
                <w:sz w:val="24"/>
              </w:rPr>
              <w:t xml:space="preserve"> </w:t>
            </w:r>
            <w:r>
              <w:rPr>
                <w:rFonts w:hint="eastAsia" w:ascii="宋体" w:hAnsi="宋体"/>
                <w:snapToGrid w:val="0"/>
                <w:kern w:val="0"/>
                <w:sz w:val="24"/>
              </w:rPr>
              <w:t>输变电工程》（</w:t>
            </w:r>
            <w:r>
              <w:rPr>
                <w:rFonts w:ascii="宋体" w:hAnsi="宋体"/>
                <w:snapToGrid w:val="0"/>
                <w:kern w:val="0"/>
                <w:sz w:val="24"/>
              </w:rPr>
              <w:t>HJ24-2014</w:t>
            </w:r>
            <w:r>
              <w:rPr>
                <w:rFonts w:hint="eastAsia" w:ascii="宋体" w:hAnsi="宋体"/>
                <w:snapToGrid w:val="0"/>
                <w:kern w:val="0"/>
                <w:sz w:val="24"/>
              </w:rPr>
              <w:t>）和《环境影响评价技术导则</w:t>
            </w:r>
            <w:r>
              <w:rPr>
                <w:rFonts w:ascii="宋体" w:hAnsi="宋体"/>
                <w:snapToGrid w:val="0"/>
                <w:kern w:val="0"/>
                <w:sz w:val="24"/>
              </w:rPr>
              <w:t xml:space="preserve"> </w:t>
            </w:r>
            <w:r>
              <w:rPr>
                <w:rFonts w:hint="eastAsia" w:ascii="宋体" w:hAnsi="宋体"/>
                <w:snapToGrid w:val="0"/>
                <w:kern w:val="0"/>
                <w:sz w:val="24"/>
              </w:rPr>
              <w:t>声环境》（</w:t>
            </w:r>
            <w:r>
              <w:rPr>
                <w:rFonts w:ascii="宋体" w:hAnsi="宋体"/>
                <w:snapToGrid w:val="0"/>
                <w:kern w:val="0"/>
                <w:sz w:val="24"/>
              </w:rPr>
              <w:t>HJ2.4-2009</w:t>
            </w:r>
            <w:r>
              <w:rPr>
                <w:rFonts w:hint="eastAsia" w:ascii="宋体" w:hAnsi="宋体"/>
                <w:snapToGrid w:val="0"/>
                <w:kern w:val="0"/>
                <w:sz w:val="24"/>
              </w:rPr>
              <w:t>）、《环境影响评价技术导则</w:t>
            </w:r>
            <w:r>
              <w:rPr>
                <w:rFonts w:ascii="宋体" w:hAnsi="宋体"/>
                <w:snapToGrid w:val="0"/>
                <w:kern w:val="0"/>
                <w:sz w:val="24"/>
              </w:rPr>
              <w:t xml:space="preserve"> </w:t>
            </w:r>
            <w:r>
              <w:rPr>
                <w:rFonts w:hint="eastAsia" w:ascii="宋体" w:hAnsi="宋体"/>
                <w:snapToGrid w:val="0"/>
                <w:kern w:val="0"/>
                <w:sz w:val="24"/>
              </w:rPr>
              <w:t>生态影响》（</w:t>
            </w:r>
            <w:r>
              <w:rPr>
                <w:rFonts w:ascii="宋体" w:hAnsi="宋体"/>
                <w:snapToGrid w:val="0"/>
                <w:kern w:val="0"/>
                <w:sz w:val="24"/>
              </w:rPr>
              <w:t>HJ19-2011</w:t>
            </w:r>
            <w:r>
              <w:rPr>
                <w:rFonts w:hint="eastAsia" w:ascii="宋体" w:hAnsi="宋体"/>
                <w:snapToGrid w:val="0"/>
                <w:kern w:val="0"/>
                <w:sz w:val="24"/>
              </w:rPr>
              <w:t>）等的有关内容和规定，结合本工程的实际特点，确定本工程环境影响评价范围如下：</w:t>
            </w:r>
          </w:p>
          <w:p>
            <w:pPr>
              <w:adjustRightInd w:val="0"/>
              <w:snapToGrid w:val="0"/>
              <w:spacing w:line="440" w:lineRule="exact"/>
              <w:ind w:firstLine="508" w:firstLineChars="212"/>
              <w:rPr>
                <w:sz w:val="24"/>
              </w:rPr>
            </w:pPr>
            <w:r>
              <w:rPr>
                <w:sz w:val="24"/>
              </w:rPr>
              <w:t>（1）工频电场、工频磁场</w:t>
            </w:r>
          </w:p>
          <w:p>
            <w:pPr>
              <w:adjustRightInd w:val="0"/>
              <w:snapToGrid w:val="0"/>
              <w:spacing w:line="440" w:lineRule="exact"/>
              <w:ind w:firstLine="508" w:firstLineChars="212"/>
              <w:rPr>
                <w:sz w:val="24"/>
              </w:rPr>
            </w:pPr>
            <w:r>
              <w:rPr>
                <w:sz w:val="24"/>
              </w:rPr>
              <w:t>变电站：变电站墙外</w:t>
            </w:r>
            <w:r>
              <w:rPr>
                <w:rFonts w:hint="eastAsia"/>
                <w:sz w:val="24"/>
              </w:rPr>
              <w:t>3</w:t>
            </w:r>
            <w:r>
              <w:rPr>
                <w:sz w:val="24"/>
              </w:rPr>
              <w:t>0m范围内区域；</w:t>
            </w:r>
          </w:p>
          <w:p>
            <w:pPr>
              <w:pStyle w:val="3"/>
              <w:adjustRightInd w:val="0"/>
              <w:snapToGrid w:val="0"/>
              <w:spacing w:line="440" w:lineRule="exact"/>
              <w:ind w:firstLine="480" w:firstLineChars="200"/>
              <w:jc w:val="both"/>
            </w:pPr>
            <w:r>
              <w:t>输电线</w:t>
            </w:r>
            <w:r>
              <w:rPr>
                <w:color w:val="auto"/>
              </w:rPr>
              <w:t>路：</w:t>
            </w:r>
            <w:r>
              <w:rPr>
                <w:rFonts w:hint="eastAsia"/>
                <w:color w:val="auto"/>
              </w:rPr>
              <w:t>电缆</w:t>
            </w:r>
            <w:r>
              <w:rPr>
                <w:rFonts w:hint="eastAsia"/>
                <w:color w:val="auto"/>
                <w:lang w:val="en-US" w:eastAsia="zh-CN"/>
              </w:rPr>
              <w:t>通廊</w:t>
            </w:r>
            <w:r>
              <w:rPr>
                <w:rFonts w:hint="eastAsia"/>
                <w:color w:val="auto"/>
              </w:rPr>
              <w:t>两侧边缘外各</w:t>
            </w:r>
            <w:r>
              <w:rPr>
                <w:rFonts w:hint="eastAsia"/>
                <w:color w:val="auto"/>
                <w:lang w:val="en-US" w:eastAsia="zh-CN"/>
              </w:rPr>
              <w:t>30</w:t>
            </w:r>
            <w:r>
              <w:rPr>
                <w:color w:val="auto"/>
              </w:rPr>
              <w:t>m的带状区</w:t>
            </w:r>
            <w:r>
              <w:t>域。</w:t>
            </w:r>
          </w:p>
          <w:p>
            <w:pPr>
              <w:adjustRightInd w:val="0"/>
              <w:snapToGrid w:val="0"/>
              <w:spacing w:line="440" w:lineRule="exact"/>
              <w:ind w:firstLine="508" w:firstLineChars="212"/>
              <w:rPr>
                <w:sz w:val="24"/>
              </w:rPr>
            </w:pPr>
            <w:r>
              <w:rPr>
                <w:sz w:val="24"/>
              </w:rPr>
              <w:t>（2）噪声</w:t>
            </w:r>
          </w:p>
          <w:p>
            <w:pPr>
              <w:adjustRightInd w:val="0"/>
              <w:snapToGrid w:val="0"/>
              <w:spacing w:line="440" w:lineRule="exact"/>
              <w:ind w:firstLine="508" w:firstLineChars="212"/>
              <w:rPr>
                <w:sz w:val="24"/>
              </w:rPr>
            </w:pPr>
            <w:r>
              <w:rPr>
                <w:sz w:val="24"/>
              </w:rPr>
              <w:t>变电站：厂界噪声</w:t>
            </w:r>
            <w:r>
              <w:rPr>
                <w:rFonts w:hint="eastAsia"/>
                <w:sz w:val="24"/>
                <w:lang w:eastAsia="zh-CN"/>
              </w:rPr>
              <w:t>，</w:t>
            </w:r>
            <w:r>
              <w:rPr>
                <w:rFonts w:hint="eastAsia"/>
                <w:sz w:val="24"/>
                <w:lang w:val="en-US" w:eastAsia="zh-CN"/>
              </w:rPr>
              <w:t>青岛特钢厂区围</w:t>
            </w:r>
            <w:r>
              <w:rPr>
                <w:sz w:val="24"/>
              </w:rPr>
              <w:t>墙外1m，环境噪声</w:t>
            </w:r>
            <w:r>
              <w:rPr>
                <w:rFonts w:hint="eastAsia"/>
                <w:sz w:val="24"/>
                <w:lang w:eastAsia="zh-CN"/>
              </w:rPr>
              <w:t>，</w:t>
            </w:r>
            <w:r>
              <w:rPr>
                <w:rFonts w:hint="eastAsia"/>
                <w:sz w:val="24"/>
                <w:lang w:val="en-US" w:eastAsia="zh-CN"/>
              </w:rPr>
              <w:t>青岛特钢厂区</w:t>
            </w:r>
            <w:r>
              <w:rPr>
                <w:sz w:val="24"/>
              </w:rPr>
              <w:t>围墙外</w:t>
            </w:r>
            <w:r>
              <w:rPr>
                <w:rFonts w:hint="eastAsia"/>
                <w:sz w:val="24"/>
              </w:rPr>
              <w:t>3</w:t>
            </w:r>
            <w:r>
              <w:rPr>
                <w:sz w:val="24"/>
              </w:rPr>
              <w:t>0m范围。</w:t>
            </w:r>
          </w:p>
          <w:p>
            <w:pPr>
              <w:adjustRightInd w:val="0"/>
              <w:snapToGrid w:val="0"/>
              <w:spacing w:line="440" w:lineRule="exact"/>
              <w:ind w:firstLine="508" w:firstLineChars="212"/>
              <w:rPr>
                <w:sz w:val="24"/>
              </w:rPr>
            </w:pPr>
            <w:r>
              <w:rPr>
                <w:sz w:val="24"/>
              </w:rPr>
              <w:t>（3）生态</w:t>
            </w:r>
          </w:p>
          <w:p>
            <w:pPr>
              <w:adjustRightInd w:val="0"/>
              <w:snapToGrid w:val="0"/>
              <w:spacing w:line="440" w:lineRule="exact"/>
              <w:ind w:firstLine="480" w:firstLineChars="200"/>
              <w:rPr>
                <w:sz w:val="24"/>
              </w:rPr>
            </w:pPr>
            <w:r>
              <w:rPr>
                <w:sz w:val="24"/>
              </w:rPr>
              <w:t>变电站：变电站墙外500m范围内区域；</w:t>
            </w:r>
          </w:p>
          <w:p>
            <w:pPr>
              <w:pStyle w:val="3"/>
              <w:adjustRightInd w:val="0"/>
              <w:snapToGrid w:val="0"/>
              <w:spacing w:line="440" w:lineRule="exact"/>
              <w:ind w:firstLine="480" w:firstLineChars="200"/>
              <w:jc w:val="both"/>
            </w:pPr>
            <w:r>
              <w:t>输电线路：</w:t>
            </w:r>
            <w:r>
              <w:rPr>
                <w:rFonts w:hint="eastAsia"/>
              </w:rPr>
              <w:t>电缆管廊两侧边缘外</w:t>
            </w:r>
            <w:r>
              <w:t>各300m内的带状区域。</w:t>
            </w:r>
          </w:p>
          <w:p>
            <w:pPr>
              <w:pStyle w:val="18"/>
              <w:spacing w:after="0" w:line="348" w:lineRule="auto"/>
              <w:outlineLvl w:val="1"/>
              <w:rPr>
                <w:rFonts w:ascii="黑体" w:eastAsia="黑体"/>
                <w:snapToGrid w:val="0"/>
                <w:kern w:val="0"/>
                <w:szCs w:val="28"/>
              </w:rPr>
            </w:pPr>
            <w:r>
              <w:rPr>
                <w:rFonts w:ascii="黑体" w:eastAsia="黑体"/>
                <w:snapToGrid w:val="0"/>
                <w:kern w:val="0"/>
                <w:szCs w:val="28"/>
              </w:rPr>
              <w:t xml:space="preserve">1.7 </w:t>
            </w:r>
            <w:r>
              <w:rPr>
                <w:rFonts w:hint="eastAsia" w:ascii="黑体" w:eastAsia="黑体"/>
                <w:snapToGrid w:val="0"/>
                <w:kern w:val="0"/>
                <w:szCs w:val="28"/>
              </w:rPr>
              <w:t>主要环境保护目标（列出名单及保护级别）：</w:t>
            </w:r>
          </w:p>
          <w:p>
            <w:pPr>
              <w:spacing w:line="360" w:lineRule="auto"/>
              <w:ind w:firstLine="480" w:firstLineChars="200"/>
              <w:rPr>
                <w:rFonts w:ascii="宋体"/>
                <w:kern w:val="0"/>
                <w:sz w:val="24"/>
              </w:rPr>
            </w:pPr>
            <w:r>
              <w:rPr>
                <w:rFonts w:hint="eastAsia" w:ascii="宋体" w:hAnsi="宋体"/>
                <w:bCs/>
                <w:sz w:val="24"/>
              </w:rPr>
              <w:t>根据</w:t>
            </w:r>
            <w:r>
              <w:rPr>
                <w:rFonts w:hint="eastAsia" w:ascii="宋体" w:hAnsi="宋体"/>
                <w:snapToGrid w:val="0"/>
                <w:kern w:val="0"/>
                <w:sz w:val="24"/>
              </w:rPr>
              <w:t>《建设项目环境影响评价分类管理名录》</w:t>
            </w:r>
            <w:r>
              <w:rPr>
                <w:rFonts w:hint="eastAsia" w:ascii="宋体" w:hAnsi="宋体"/>
                <w:bCs/>
                <w:sz w:val="24"/>
              </w:rPr>
              <w:t>（环境保护部令第44号，</w:t>
            </w:r>
            <w:r>
              <w:rPr>
                <w:rFonts w:ascii="宋体" w:hAnsi="宋体"/>
                <w:bCs/>
                <w:sz w:val="24"/>
              </w:rPr>
              <w:t>201</w:t>
            </w:r>
            <w:r>
              <w:rPr>
                <w:rFonts w:hint="eastAsia" w:ascii="宋体" w:hAnsi="宋体"/>
                <w:bCs/>
                <w:sz w:val="24"/>
              </w:rPr>
              <w:t>7年）“送（输）变电工程”环境敏感区〔（一）和</w:t>
            </w:r>
            <w:r>
              <w:rPr>
                <w:rFonts w:hint="eastAsia" w:ascii="宋体" w:hAnsi="宋体"/>
                <w:snapToGrid w:val="0"/>
                <w:kern w:val="0"/>
                <w:sz w:val="24"/>
              </w:rPr>
              <w:t>（三）〕</w:t>
            </w:r>
            <w:r>
              <w:rPr>
                <w:rFonts w:hint="eastAsia" w:ascii="宋体"/>
                <w:kern w:val="0"/>
                <w:sz w:val="24"/>
              </w:rPr>
              <w:t>及</w:t>
            </w:r>
            <w:r>
              <w:rPr>
                <w:rFonts w:hint="eastAsia" w:ascii="宋体" w:hAnsi="宋体"/>
                <w:snapToGrid w:val="0"/>
                <w:kern w:val="0"/>
                <w:sz w:val="24"/>
              </w:rPr>
              <w:t>《环境影响评价技术导则</w:t>
            </w:r>
            <w:r>
              <w:rPr>
                <w:rFonts w:ascii="宋体" w:hAnsi="宋体"/>
                <w:snapToGrid w:val="0"/>
                <w:kern w:val="0"/>
                <w:sz w:val="24"/>
              </w:rPr>
              <w:t xml:space="preserve"> </w:t>
            </w:r>
            <w:r>
              <w:rPr>
                <w:rFonts w:hint="eastAsia" w:ascii="宋体" w:hAnsi="宋体"/>
                <w:snapToGrid w:val="0"/>
                <w:kern w:val="0"/>
                <w:sz w:val="24"/>
              </w:rPr>
              <w:t>输变电工程》（</w:t>
            </w:r>
            <w:r>
              <w:rPr>
                <w:rFonts w:ascii="宋体" w:hAnsi="宋体"/>
                <w:snapToGrid w:val="0"/>
                <w:kern w:val="0"/>
                <w:sz w:val="24"/>
              </w:rPr>
              <w:t>HJ24-2014</w:t>
            </w:r>
            <w:r>
              <w:rPr>
                <w:rFonts w:hint="eastAsia" w:ascii="宋体" w:hAnsi="宋体"/>
                <w:snapToGrid w:val="0"/>
                <w:kern w:val="0"/>
                <w:sz w:val="24"/>
              </w:rPr>
              <w:t>）的规定，</w:t>
            </w:r>
            <w:r>
              <w:rPr>
                <w:rFonts w:hint="eastAsia" w:ascii="宋体"/>
                <w:kern w:val="0"/>
                <w:sz w:val="24"/>
              </w:rPr>
              <w:t>经现场勘查，本工程评价范围内无环境保护目标。</w:t>
            </w:r>
          </w:p>
          <w:p>
            <w:pPr>
              <w:spacing w:line="480" w:lineRule="exact"/>
              <w:rPr>
                <w:rFonts w:ascii="黑体" w:eastAsia="黑体"/>
                <w:snapToGrid w:val="0"/>
                <w:kern w:val="0"/>
                <w:sz w:val="28"/>
                <w:szCs w:val="28"/>
              </w:rPr>
            </w:pPr>
            <w:r>
              <w:rPr>
                <w:rFonts w:ascii="黑体" w:eastAsia="黑体"/>
                <w:snapToGrid w:val="0"/>
                <w:kern w:val="0"/>
                <w:sz w:val="28"/>
                <w:szCs w:val="28"/>
              </w:rPr>
              <w:t>1.8</w:t>
            </w:r>
            <w:r>
              <w:rPr>
                <w:rFonts w:hint="eastAsia" w:ascii="黑体" w:eastAsia="黑体"/>
                <w:snapToGrid w:val="0"/>
                <w:kern w:val="0"/>
                <w:sz w:val="28"/>
                <w:szCs w:val="28"/>
              </w:rPr>
              <w:t>产业政策符合性</w:t>
            </w:r>
          </w:p>
          <w:p>
            <w:pPr>
              <w:adjustRightInd w:val="0"/>
              <w:spacing w:line="480" w:lineRule="exact"/>
              <w:ind w:firstLine="480" w:firstLineChars="200"/>
              <w:rPr>
                <w:rFonts w:ascii="宋体"/>
                <w:sz w:val="24"/>
              </w:rPr>
            </w:pPr>
            <w:r>
              <w:rPr>
                <w:rFonts w:hint="eastAsia" w:ascii="宋体" w:hAnsi="宋体"/>
                <w:sz w:val="24"/>
              </w:rPr>
              <w:t>本工程为《产业结构调整指导目录（</w:t>
            </w:r>
            <w:r>
              <w:rPr>
                <w:rFonts w:ascii="宋体" w:hAnsi="宋体"/>
                <w:sz w:val="24"/>
              </w:rPr>
              <w:t>2011</w:t>
            </w:r>
            <w:r>
              <w:rPr>
                <w:rFonts w:hint="eastAsia" w:ascii="宋体" w:hAnsi="宋体"/>
                <w:sz w:val="24"/>
              </w:rPr>
              <w:t>年本）》（</w:t>
            </w:r>
            <w:r>
              <w:rPr>
                <w:rFonts w:ascii="宋体" w:hAnsi="宋体"/>
                <w:sz w:val="24"/>
              </w:rPr>
              <w:t>2013</w:t>
            </w:r>
            <w:r>
              <w:rPr>
                <w:rFonts w:hint="eastAsia" w:ascii="宋体" w:hAnsi="宋体"/>
                <w:sz w:val="24"/>
              </w:rPr>
              <w:t>年修正）（</w:t>
            </w:r>
            <w:r>
              <w:rPr>
                <w:rFonts w:ascii="宋体" w:hAnsi="宋体"/>
                <w:sz w:val="24"/>
              </w:rPr>
              <w:t>国家发展和改革委员会</w:t>
            </w:r>
            <w:r>
              <w:rPr>
                <w:rFonts w:hint="eastAsia" w:ascii="宋体" w:hAnsi="宋体"/>
                <w:sz w:val="24"/>
              </w:rPr>
              <w:t>令</w:t>
            </w:r>
            <w:r>
              <w:rPr>
                <w:rFonts w:ascii="宋体" w:hAnsi="宋体"/>
                <w:sz w:val="24"/>
              </w:rPr>
              <w:t>第</w:t>
            </w:r>
            <w:r>
              <w:rPr>
                <w:rFonts w:hint="eastAsia" w:ascii="宋体" w:hAnsi="宋体"/>
                <w:sz w:val="24"/>
              </w:rPr>
              <w:t>21</w:t>
            </w:r>
            <w:r>
              <w:rPr>
                <w:rFonts w:ascii="宋体" w:hAnsi="宋体"/>
                <w:sz w:val="24"/>
              </w:rPr>
              <w:t>号</w:t>
            </w:r>
            <w:r>
              <w:rPr>
                <w:rFonts w:hint="eastAsia" w:ascii="宋体" w:hAnsi="宋体"/>
                <w:sz w:val="24"/>
              </w:rPr>
              <w:t>）中的鼓励类项目“四</w:t>
            </w:r>
            <w:r>
              <w:rPr>
                <w:rFonts w:ascii="宋体" w:hAnsi="宋体"/>
                <w:sz w:val="24"/>
              </w:rPr>
              <w:t xml:space="preserve"> </w:t>
            </w:r>
            <w:r>
              <w:rPr>
                <w:rFonts w:hint="eastAsia" w:ascii="宋体" w:hAnsi="宋体"/>
                <w:sz w:val="24"/>
              </w:rPr>
              <w:t>电力、</w:t>
            </w:r>
            <w:r>
              <w:rPr>
                <w:rFonts w:ascii="宋体" w:hAnsi="宋体"/>
                <w:sz w:val="24"/>
              </w:rPr>
              <w:t>10.</w:t>
            </w:r>
            <w:r>
              <w:rPr>
                <w:rFonts w:hint="eastAsia" w:ascii="宋体" w:hAnsi="宋体"/>
                <w:sz w:val="24"/>
              </w:rPr>
              <w:t>电网改造及建设项目”，符合国家当前产业政策要求。</w:t>
            </w:r>
          </w:p>
          <w:p>
            <w:pPr>
              <w:spacing w:line="480" w:lineRule="exact"/>
              <w:rPr>
                <w:rFonts w:ascii="黑体" w:eastAsia="黑体"/>
                <w:snapToGrid w:val="0"/>
                <w:kern w:val="0"/>
                <w:sz w:val="28"/>
                <w:szCs w:val="28"/>
              </w:rPr>
            </w:pPr>
            <w:r>
              <w:rPr>
                <w:rFonts w:ascii="黑体" w:eastAsia="黑体"/>
                <w:snapToGrid w:val="0"/>
                <w:kern w:val="0"/>
                <w:sz w:val="28"/>
                <w:szCs w:val="28"/>
              </w:rPr>
              <w:t xml:space="preserve">1.9 </w:t>
            </w:r>
            <w:r>
              <w:rPr>
                <w:rFonts w:hint="eastAsia" w:ascii="黑体" w:eastAsia="黑体"/>
                <w:snapToGrid w:val="0"/>
                <w:kern w:val="0"/>
                <w:sz w:val="28"/>
                <w:szCs w:val="28"/>
              </w:rPr>
              <w:t>项目合理性分析</w:t>
            </w:r>
          </w:p>
          <w:p>
            <w:pPr>
              <w:adjustRightInd w:val="0"/>
              <w:spacing w:line="480" w:lineRule="exact"/>
              <w:ind w:firstLine="480" w:firstLineChars="200"/>
              <w:rPr>
                <w:rFonts w:ascii="宋体" w:hAnsi="宋体"/>
                <w:sz w:val="24"/>
              </w:rPr>
            </w:pPr>
            <w:r>
              <w:rPr>
                <w:rFonts w:hint="eastAsia" w:ascii="宋体" w:hAnsi="宋体"/>
                <w:sz w:val="24"/>
              </w:rPr>
              <w:t>（1）规划合理性分析</w:t>
            </w:r>
          </w:p>
          <w:p>
            <w:pPr>
              <w:adjustRightInd w:val="0"/>
              <w:spacing w:line="480" w:lineRule="exact"/>
              <w:ind w:firstLine="480" w:firstLineChars="200"/>
              <w:rPr>
                <w:rFonts w:ascii="宋体" w:hAnsi="宋体"/>
                <w:sz w:val="24"/>
              </w:rPr>
            </w:pPr>
            <w:r>
              <w:rPr>
                <w:rFonts w:hint="eastAsia" w:ascii="宋体" w:hAnsi="宋体"/>
                <w:sz w:val="24"/>
              </w:rPr>
              <w:t>经核实，本工程变电站和电缆管廊均在青岛特殊钢铁有限公司院内，青岛特殊钢铁有限公司</w:t>
            </w:r>
            <w:r>
              <w:rPr>
                <w:rFonts w:hint="eastAsia" w:ascii="宋体" w:hAnsi="宋体"/>
                <w:sz w:val="24"/>
                <w:lang w:val="en-US" w:eastAsia="zh-CN"/>
              </w:rPr>
              <w:t>已</w:t>
            </w:r>
            <w:r>
              <w:rPr>
                <w:rFonts w:hint="eastAsia" w:ascii="宋体" w:hAnsi="宋体"/>
                <w:sz w:val="24"/>
              </w:rPr>
              <w:t>取得土地证。本工程的建设是合理的。</w:t>
            </w:r>
          </w:p>
          <w:p>
            <w:pPr>
              <w:autoSpaceDE w:val="0"/>
              <w:autoSpaceDN w:val="0"/>
              <w:adjustRightInd w:val="0"/>
              <w:snapToGrid w:val="0"/>
              <w:spacing w:line="440" w:lineRule="exact"/>
              <w:ind w:firstLine="360" w:firstLineChars="150"/>
              <w:jc w:val="left"/>
              <w:rPr>
                <w:sz w:val="24"/>
              </w:rPr>
            </w:pPr>
            <w:r>
              <w:rPr>
                <w:sz w:val="24"/>
              </w:rPr>
              <w:t>（2）与环境功能区划相符性</w:t>
            </w:r>
          </w:p>
          <w:p>
            <w:pPr>
              <w:adjustRightInd w:val="0"/>
              <w:snapToGrid w:val="0"/>
              <w:spacing w:line="440" w:lineRule="exact"/>
              <w:ind w:firstLine="480" w:firstLineChars="200"/>
              <w:rPr>
                <w:color w:val="000000"/>
                <w:sz w:val="24"/>
              </w:rPr>
            </w:pPr>
            <w:r>
              <w:rPr>
                <w:sz w:val="24"/>
              </w:rPr>
              <w:t>本工程评价范围内不涉及自然保护区、风景名胜区、森林公园等，不涉及《全国主体功能区规划》中限制开发区域（国家重点生态功能区）和禁止开发区域，</w:t>
            </w:r>
            <w:r>
              <w:rPr>
                <w:color w:val="000000"/>
                <w:sz w:val="24"/>
              </w:rPr>
              <w:t>不涉及《山东省生态保护红线规划（2016～2020）》中的生态保护区域。</w:t>
            </w:r>
          </w:p>
          <w:p>
            <w:pPr>
              <w:adjustRightInd w:val="0"/>
              <w:snapToGrid w:val="0"/>
              <w:spacing w:line="440" w:lineRule="exact"/>
              <w:ind w:firstLine="480" w:firstLineChars="200"/>
              <w:rPr>
                <w:color w:val="000000"/>
                <w:sz w:val="24"/>
              </w:rPr>
            </w:pPr>
          </w:p>
          <w:p>
            <w:pPr>
              <w:adjustRightInd w:val="0"/>
              <w:snapToGrid w:val="0"/>
              <w:spacing w:line="440" w:lineRule="exact"/>
              <w:ind w:firstLine="480" w:firstLineChars="200"/>
              <w:rPr>
                <w:color w:val="000000"/>
                <w:sz w:val="24"/>
              </w:rPr>
            </w:pPr>
          </w:p>
          <w:p>
            <w:pPr>
              <w:adjustRightInd w:val="0"/>
              <w:snapToGrid w:val="0"/>
              <w:spacing w:line="440" w:lineRule="exact"/>
              <w:ind w:firstLine="480" w:firstLineChars="200"/>
              <w:rPr>
                <w:color w:val="000000"/>
                <w:sz w:val="24"/>
              </w:rPr>
            </w:pPr>
          </w:p>
          <w:p>
            <w:pPr>
              <w:adjustRightInd w:val="0"/>
              <w:snapToGrid w:val="0"/>
              <w:spacing w:line="440" w:lineRule="exact"/>
              <w:ind w:firstLine="480" w:firstLineChars="200"/>
              <w:rPr>
                <w:color w:val="000000"/>
                <w:sz w:val="24"/>
              </w:rPr>
            </w:pPr>
          </w:p>
          <w:p>
            <w:pPr>
              <w:adjustRightInd w:val="0"/>
              <w:snapToGrid w:val="0"/>
              <w:spacing w:line="440" w:lineRule="exact"/>
              <w:ind w:firstLine="480" w:firstLineChars="200"/>
              <w:rPr>
                <w:color w:val="000000"/>
                <w:sz w:val="24"/>
              </w:rPr>
            </w:pPr>
          </w:p>
          <w:p>
            <w:pPr>
              <w:adjustRightInd w:val="0"/>
              <w:snapToGrid w:val="0"/>
              <w:spacing w:line="440" w:lineRule="exact"/>
              <w:ind w:firstLine="480" w:firstLineChars="200"/>
              <w:rPr>
                <w:color w:val="000000"/>
                <w:sz w:val="24"/>
              </w:rPr>
            </w:pPr>
          </w:p>
          <w:p>
            <w:pPr>
              <w:adjustRightInd w:val="0"/>
              <w:snapToGrid w:val="0"/>
              <w:spacing w:line="440" w:lineRule="exact"/>
              <w:ind w:firstLine="480" w:firstLineChars="200"/>
              <w:rPr>
                <w:color w:val="000000"/>
                <w:sz w:val="24"/>
              </w:rPr>
            </w:pPr>
          </w:p>
          <w:p>
            <w:pPr>
              <w:adjustRightInd w:val="0"/>
              <w:snapToGrid w:val="0"/>
              <w:spacing w:line="440" w:lineRule="exact"/>
              <w:ind w:firstLine="480" w:firstLineChars="200"/>
              <w:rPr>
                <w:color w:val="000000"/>
                <w:sz w:val="24"/>
              </w:rPr>
            </w:pPr>
          </w:p>
          <w:p>
            <w:pPr>
              <w:adjustRightInd w:val="0"/>
              <w:snapToGrid w:val="0"/>
              <w:spacing w:line="440" w:lineRule="exact"/>
              <w:ind w:firstLine="480" w:firstLineChars="200"/>
              <w:rPr>
                <w:color w:val="000000"/>
                <w:sz w:val="24"/>
              </w:rPr>
            </w:pPr>
          </w:p>
          <w:p>
            <w:pPr>
              <w:adjustRightInd w:val="0"/>
              <w:snapToGrid w:val="0"/>
              <w:spacing w:line="440" w:lineRule="exact"/>
              <w:ind w:firstLine="480" w:firstLineChars="200"/>
              <w:rPr>
                <w:color w:val="000000"/>
                <w:sz w:val="24"/>
              </w:rPr>
            </w:pPr>
          </w:p>
          <w:p>
            <w:pPr>
              <w:adjustRightInd w:val="0"/>
              <w:spacing w:line="360" w:lineRule="auto"/>
              <w:jc w:val="center"/>
              <w:rPr>
                <w:rFonts w:ascii="宋体" w:hAnsi="宋体"/>
                <w:bCs/>
                <w:sz w:val="24"/>
              </w:rPr>
            </w:pPr>
            <w:r>
              <w:rPr>
                <w:sz w:val="18"/>
              </w:rPr>
              <w:pict>
                <v:shape id="_x0000_s2051" o:spid="_x0000_s2051" o:spt="61" type="#_x0000_t61" style="position:absolute;left:0pt;margin-left:1.2pt;margin-top:419.1pt;height:15.65pt;width:54.95pt;z-index:251730944;mso-width-relative:page;mso-height-relative:page;" fillcolor="#FFFFFF" filled="t" stroked="t" coordsize="21600,21600" adj="33923,59831">
                  <v:path/>
                  <v:fill on="t" color2="#FFFFFF" focussize="0,0"/>
                  <v:stroke color="#000000"/>
                  <v:imagedata o:title=""/>
                  <o:lock v:ext="edit" aspectratio="f"/>
                  <v:textbox inset="0mm,0mm,0mm,0mm">
                    <w:txbxContent>
                      <w:p>
                        <w:pPr>
                          <w:rPr>
                            <w:rFonts w:hint="eastAsia" w:eastAsia="宋体"/>
                            <w:lang w:val="en-US" w:eastAsia="zh-CN"/>
                          </w:rPr>
                        </w:pPr>
                        <w:r>
                          <w:rPr>
                            <w:rFonts w:hint="eastAsia"/>
                            <w:lang w:val="en-US" w:eastAsia="zh-CN"/>
                          </w:rPr>
                          <w:t>本工程位置</w:t>
                        </w:r>
                      </w:p>
                    </w:txbxContent>
                  </v:textbox>
                </v:shape>
              </w:pict>
            </w:r>
            <w:r>
              <w:rPr>
                <w:rFonts w:eastAsia="Times New Roman"/>
                <w:snapToGrid w:val="0"/>
                <w:color w:val="000000"/>
                <w:w w:val="0"/>
                <w:kern w:val="0"/>
                <w:sz w:val="0"/>
                <w:szCs w:val="0"/>
                <w:u w:color="000000"/>
                <w:shd w:val="clear" w:color="000000" w:fill="000000"/>
                <w:lang w:val="zh-CN" w:eastAsia="zh-CN" w:bidi="zh-CN"/>
              </w:rPr>
              <w:t xml:space="preserve"> </w:t>
            </w:r>
            <w:r>
              <w:rPr>
                <w:rFonts w:ascii="黑体" w:hAnsi="宋体" w:eastAsia="黑体"/>
                <w:sz w:val="18"/>
                <w:szCs w:val="18"/>
              </w:rPr>
              <w:pict>
                <v:group id="Group 255" o:spid="_x0000_s2052" o:spt="203" style="position:absolute;left:0pt;margin-left:451pt;margin-top:17.95pt;height:80.4pt;width:28.3pt;z-index:251638784;mso-width-relative:page;mso-height-relative:page;" coordsize="563,1608">
                  <o:lock v:ext="edit"/>
                  <v:group id="Group 256" o:spid="_x0000_s2053" o:spt="203" style="position:absolute;left:0;top:423;height:1185;width:563;" coordsize="607,1227">
                    <o:lock v:ext="edit"/>
                    <v:shape id="FreeForm 257" o:spid="_x0000_s2054" style="position:absolute;left:151;top:0;height:1227;width:314;" filled="f" coordsize="314,1227" path="m150,0l0,1220,160,1020,152,3,161,1026,314,1227,150,0xe">
                      <v:path arrowok="t"/>
                      <v:fill on="f" focussize="0,0"/>
                      <v:stroke weight="1.5pt"/>
                      <v:imagedata o:title=""/>
                      <o:lock v:ext="edit"/>
                    </v:shape>
                    <v:shape id="Oval 258" o:spid="_x0000_s2055" o:spt="3" type="#_x0000_t3" style="position:absolute;left:108;top:417;height:397;width:397;" filled="f" coordsize="21600,21600">
                      <v:path/>
                      <v:fill on="f" focussize="0,0"/>
                      <v:stroke/>
                      <v:imagedata o:title=""/>
                      <o:lock v:ext="edit"/>
                    </v:shape>
                    <v:shape id="Oval 259" o:spid="_x0000_s2056" o:spt="3" type="#_x0000_t3" style="position:absolute;left:0;top:306;height:607;width:607;" filled="f" coordsize="21600,21600">
                      <v:path/>
                      <v:fill on="f" focussize="0,0"/>
                      <v:stroke/>
                      <v:imagedata o:title=""/>
                      <o:lock v:ext="edit"/>
                    </v:shape>
                  </v:group>
                  <v:rect id="Rectangle 260" o:spid="_x0000_s2057" o:spt="1" style="position:absolute;left:55;top:0;height:452;width:500;" filled="f" stroked="f" coordsize="21600,21600">
                    <v:path/>
                    <v:fill on="f" focussize="0,0"/>
                    <v:stroke on="f"/>
                    <v:imagedata o:title=""/>
                    <o:lock v:ext="edit"/>
                    <v:textbox>
                      <w:txbxContent>
                        <w:p>
                          <w:pPr>
                            <w:rPr>
                              <w:b/>
                              <w:sz w:val="24"/>
                            </w:rPr>
                          </w:pPr>
                          <w:r>
                            <w:rPr>
                              <w:rFonts w:hint="eastAsia"/>
                              <w:b/>
                              <w:sz w:val="24"/>
                            </w:rPr>
                            <w:t>N</w:t>
                          </w:r>
                        </w:p>
                      </w:txbxContent>
                    </v:textbox>
                  </v:rect>
                </v:group>
              </w:pict>
            </w:r>
            <w:r>
              <w:rPr>
                <w:rFonts w:ascii="宋体" w:hAnsi="宋体"/>
                <w:bCs/>
                <w:sz w:val="24"/>
              </w:rPr>
              <w:drawing>
                <wp:inline distT="0" distB="0" distL="0" distR="0">
                  <wp:extent cx="6203315" cy="6108700"/>
                  <wp:effectExtent l="0" t="0" r="0" b="0"/>
                  <wp:docPr id="32" name="图片 32" descr="C:\Users\52704\Documents\Tencent Files\527046002\FileRecv\MobileFile\Image\IW9DF{%DDBP](VPWC%X05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52704\Documents\Tencent Files\527046002\FileRecv\MobileFile\Image\IW9DF{%DDBP](VPWC%X0526.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6245019" cy="6149190"/>
                          </a:xfrm>
                          <a:prstGeom prst="rect">
                            <a:avLst/>
                          </a:prstGeom>
                          <a:noFill/>
                          <a:ln>
                            <a:noFill/>
                          </a:ln>
                        </pic:spPr>
                      </pic:pic>
                    </a:graphicData>
                  </a:graphic>
                </wp:inline>
              </w:drawing>
            </w:r>
          </w:p>
          <w:p>
            <w:pPr>
              <w:adjustRightInd w:val="0"/>
              <w:spacing w:line="360" w:lineRule="auto"/>
              <w:ind w:firstLine="482"/>
              <w:jc w:val="center"/>
              <w:rPr>
                <w:rFonts w:ascii="黑体" w:hAnsi="宋体" w:eastAsia="黑体"/>
                <w:snapToGrid w:val="0"/>
                <w:kern w:val="0"/>
                <w:sz w:val="24"/>
              </w:rPr>
            </w:pPr>
            <w:r>
              <w:rPr>
                <w:rFonts w:hint="eastAsia" w:ascii="黑体" w:hAnsi="宋体" w:eastAsia="黑体"/>
                <w:snapToGrid w:val="0"/>
                <w:kern w:val="0"/>
                <w:sz w:val="24"/>
              </w:rPr>
              <w:t>图</w:t>
            </w:r>
            <w:r>
              <w:rPr>
                <w:rFonts w:ascii="黑体" w:hAnsi="宋体" w:eastAsia="黑体"/>
                <w:snapToGrid w:val="0"/>
                <w:kern w:val="0"/>
                <w:sz w:val="24"/>
              </w:rPr>
              <w:t>1-</w:t>
            </w:r>
            <w:r>
              <w:rPr>
                <w:rFonts w:hint="eastAsia" w:ascii="黑体" w:hAnsi="宋体" w:eastAsia="黑体"/>
                <w:snapToGrid w:val="0"/>
                <w:kern w:val="0"/>
                <w:sz w:val="24"/>
              </w:rPr>
              <w:t>1</w:t>
            </w:r>
            <w:r>
              <w:rPr>
                <w:rFonts w:ascii="黑体" w:hAnsi="宋体" w:eastAsia="黑体"/>
                <w:snapToGrid w:val="0"/>
                <w:kern w:val="0"/>
                <w:sz w:val="24"/>
              </w:rPr>
              <w:t xml:space="preserve">  </w:t>
            </w:r>
            <w:r>
              <w:rPr>
                <w:rFonts w:hint="eastAsia" w:ascii="黑体" w:hAnsi="宋体" w:eastAsia="黑体" w:cs="Times New Roman"/>
                <w:snapToGrid w:val="0"/>
                <w:kern w:val="0"/>
                <w:sz w:val="24"/>
                <w:lang w:val="en-US" w:eastAsia="zh-CN"/>
              </w:rPr>
              <w:t>炼铁鼓风110kV变电站</w:t>
            </w:r>
            <w:r>
              <w:rPr>
                <w:rFonts w:hint="eastAsia" w:ascii="黑体" w:hAnsi="宋体" w:eastAsia="黑体" w:cs="Times New Roman"/>
                <w:snapToGrid w:val="0"/>
                <w:kern w:val="0"/>
                <w:sz w:val="24"/>
              </w:rPr>
              <w:t>地</w:t>
            </w:r>
            <w:r>
              <w:rPr>
                <w:rFonts w:hint="eastAsia" w:ascii="黑体" w:hAnsi="宋体" w:eastAsia="黑体"/>
                <w:snapToGrid w:val="0"/>
                <w:kern w:val="0"/>
                <w:sz w:val="24"/>
              </w:rPr>
              <w:t>理位置示意图</w:t>
            </w:r>
          </w:p>
          <w:p>
            <w:pPr>
              <w:adjustRightInd w:val="0"/>
              <w:spacing w:line="360" w:lineRule="auto"/>
              <w:ind w:firstLine="482"/>
              <w:jc w:val="center"/>
              <w:rPr>
                <w:rFonts w:ascii="黑体" w:hAnsi="宋体" w:eastAsia="黑体"/>
                <w:snapToGrid w:val="0"/>
                <w:kern w:val="0"/>
                <w:sz w:val="24"/>
              </w:rPr>
            </w:pPr>
          </w:p>
          <w:p>
            <w:pPr>
              <w:adjustRightInd w:val="0"/>
              <w:spacing w:line="360" w:lineRule="auto"/>
              <w:ind w:firstLine="482"/>
              <w:jc w:val="center"/>
              <w:rPr>
                <w:rFonts w:ascii="黑体" w:hAnsi="宋体" w:eastAsia="黑体"/>
                <w:snapToGrid w:val="0"/>
                <w:kern w:val="0"/>
                <w:sz w:val="24"/>
              </w:rPr>
            </w:pPr>
          </w:p>
          <w:p>
            <w:pPr>
              <w:adjustRightInd w:val="0"/>
              <w:spacing w:line="360" w:lineRule="auto"/>
              <w:ind w:firstLine="482"/>
              <w:jc w:val="center"/>
              <w:rPr>
                <w:rFonts w:ascii="黑体" w:hAnsi="宋体" w:eastAsia="黑体"/>
                <w:snapToGrid w:val="0"/>
                <w:kern w:val="0"/>
                <w:sz w:val="24"/>
              </w:rPr>
            </w:pPr>
          </w:p>
          <w:p>
            <w:pPr>
              <w:adjustRightInd w:val="0"/>
              <w:spacing w:line="360" w:lineRule="auto"/>
              <w:ind w:firstLine="482"/>
              <w:jc w:val="center"/>
              <w:rPr>
                <w:rFonts w:ascii="黑体" w:hAnsi="宋体" w:eastAsia="黑体"/>
                <w:snapToGrid w:val="0"/>
                <w:kern w:val="0"/>
                <w:sz w:val="24"/>
              </w:rPr>
            </w:pPr>
          </w:p>
          <w:p>
            <w:pPr>
              <w:adjustRightInd w:val="0"/>
              <w:spacing w:line="360" w:lineRule="auto"/>
              <w:ind w:firstLine="482"/>
              <w:jc w:val="center"/>
              <w:rPr>
                <w:rFonts w:ascii="黑体" w:hAnsi="宋体" w:eastAsia="黑体"/>
                <w:snapToGrid w:val="0"/>
                <w:kern w:val="0"/>
                <w:sz w:val="24"/>
              </w:rPr>
            </w:pPr>
          </w:p>
          <w:p>
            <w:pPr>
              <w:adjustRightInd w:val="0"/>
              <w:spacing w:line="360" w:lineRule="auto"/>
              <w:ind w:firstLine="482"/>
              <w:jc w:val="center"/>
              <w:rPr>
                <w:rFonts w:ascii="黑体" w:hAnsi="宋体" w:eastAsia="黑体"/>
                <w:snapToGrid w:val="0"/>
                <w:kern w:val="0"/>
                <w:sz w:val="24"/>
              </w:rPr>
            </w:pPr>
          </w:p>
          <w:p>
            <w:pPr>
              <w:adjustRightInd w:val="0"/>
              <w:spacing w:line="360" w:lineRule="auto"/>
              <w:ind w:firstLine="482"/>
              <w:jc w:val="center"/>
              <w:rPr>
                <w:rFonts w:ascii="黑体" w:hAnsi="宋体" w:eastAsia="黑体"/>
                <w:snapToGrid w:val="0"/>
                <w:kern w:val="0"/>
                <w:sz w:val="24"/>
              </w:rPr>
            </w:pPr>
          </w:p>
          <w:p>
            <w:pPr>
              <w:adjustRightInd w:val="0"/>
              <w:spacing w:line="360" w:lineRule="auto"/>
              <w:jc w:val="left"/>
              <w:rPr>
                <w:rFonts w:ascii="宋体"/>
                <w:bCs/>
                <w:sz w:val="24"/>
              </w:rPr>
            </w:pPr>
            <w:r>
              <w:rPr>
                <w:rFonts w:ascii="黑体" w:eastAsia="黑体"/>
                <w:kern w:val="0"/>
                <w:sz w:val="28"/>
                <w:szCs w:val="28"/>
              </w:rPr>
              <w:pict>
                <v:group id="_x0000_s2058" o:spid="_x0000_s2058" o:spt="203" style="position:absolute;left:0pt;margin-left:452.35pt;margin-top:12.15pt;height:80.4pt;width:28.3pt;z-index:251639808;mso-width-relative:page;mso-height-relative:page;" coordsize="563,1608">
                  <o:lock v:ext="edit"/>
                  <v:group id="Group 256" o:spid="_x0000_s2059" o:spt="203" style="position:absolute;left:0;top:423;height:1185;width:563;" coordsize="607,1227">
                    <o:lock v:ext="edit"/>
                    <v:shape id="FreeForm 257" o:spid="_x0000_s2060" style="position:absolute;left:151;top:0;height:1227;width:314;" filled="f" coordsize="314,1227" path="m150,0l0,1220,160,1020,152,3,161,1026,314,1227,150,0xe">
                      <v:path arrowok="t"/>
                      <v:fill on="f" focussize="0,0"/>
                      <v:stroke weight="1.5pt"/>
                      <v:imagedata o:title=""/>
                      <o:lock v:ext="edit"/>
                    </v:shape>
                    <v:shape id="Oval 258" o:spid="_x0000_s2061" o:spt="3" type="#_x0000_t3" style="position:absolute;left:108;top:417;height:397;width:397;" filled="f" coordsize="21600,21600">
                      <v:path/>
                      <v:fill on="f" focussize="0,0"/>
                      <v:stroke/>
                      <v:imagedata o:title=""/>
                      <o:lock v:ext="edit"/>
                    </v:shape>
                    <v:shape id="Oval 259" o:spid="_x0000_s2062" o:spt="3" type="#_x0000_t3" style="position:absolute;left:0;top:306;height:607;width:607;" filled="f" coordsize="21600,21600">
                      <v:path/>
                      <v:fill on="f" focussize="0,0"/>
                      <v:stroke/>
                      <v:imagedata o:title=""/>
                      <o:lock v:ext="edit"/>
                    </v:shape>
                  </v:group>
                  <v:rect id="Rectangle 260" o:spid="_x0000_s2063" o:spt="1" style="position:absolute;left:55;top:0;height:452;width:500;" filled="f" stroked="f" coordsize="21600,21600">
                    <v:path/>
                    <v:fill on="f" focussize="0,0"/>
                    <v:stroke on="f"/>
                    <v:imagedata o:title=""/>
                    <o:lock v:ext="edit"/>
                    <v:textbox>
                      <w:txbxContent>
                        <w:p>
                          <w:pPr>
                            <w:rPr>
                              <w:b/>
                              <w:sz w:val="24"/>
                            </w:rPr>
                          </w:pPr>
                          <w:r>
                            <w:rPr>
                              <w:rFonts w:hint="eastAsia"/>
                              <w:b/>
                              <w:sz w:val="24"/>
                            </w:rPr>
                            <w:t>NN</w:t>
                          </w:r>
                        </w:p>
                      </w:txbxContent>
                    </v:textbox>
                  </v:rect>
                </v:group>
              </w:pict>
            </w:r>
            <w:r>
              <w:drawing>
                <wp:anchor distT="0" distB="0" distL="114300" distR="114300" simplePos="0" relativeHeight="251731968" behindDoc="1" locked="0" layoutInCell="1" allowOverlap="1">
                  <wp:simplePos x="0" y="0"/>
                  <wp:positionH relativeFrom="column">
                    <wp:posOffset>0</wp:posOffset>
                  </wp:positionH>
                  <wp:positionV relativeFrom="paragraph">
                    <wp:posOffset>111760</wp:posOffset>
                  </wp:positionV>
                  <wp:extent cx="6160770" cy="5974080"/>
                  <wp:effectExtent l="0" t="0" r="11430" b="7620"/>
                  <wp:wrapNone/>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9"/>
                          <a:stretch>
                            <a:fillRect/>
                          </a:stretch>
                        </pic:blipFill>
                        <pic:spPr>
                          <a:xfrm>
                            <a:off x="0" y="0"/>
                            <a:ext cx="6160770" cy="5974080"/>
                          </a:xfrm>
                          <a:prstGeom prst="rect">
                            <a:avLst/>
                          </a:prstGeom>
                          <a:noFill/>
                          <a:ln w="9525">
                            <a:noFill/>
                          </a:ln>
                        </pic:spPr>
                      </pic:pic>
                    </a:graphicData>
                  </a:graphic>
                </wp:anchor>
              </w:drawing>
            </w:r>
            <w:r>
              <w:t xml:space="preserve"> </w:t>
            </w: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r>
              <w:rPr>
                <w:rFonts w:ascii="黑体" w:eastAsia="黑体"/>
                <w:kern w:val="0"/>
                <w:sz w:val="28"/>
                <w:szCs w:val="28"/>
              </w:rPr>
              <w:pict>
                <v:shape id="_x0000_s2066" o:spid="_x0000_s2066" o:spt="202" type="#_x0000_t202" style="position:absolute;left:0pt;margin-left:169.95pt;margin-top:1.95pt;height:22.8pt;width:53.2pt;z-index:251643904;mso-width-relative:margin;mso-height-relative:margin;mso-height-percent:200;" filled="f" stroked="f" coordsize="21600,21600">
                  <v:path/>
                  <v:fill on="f" focussize="0,0"/>
                  <v:stroke on="f"/>
                  <v:imagedata o:title=""/>
                  <o:lock v:ext="edit" aspectratio="f"/>
                  <v:textbox style="mso-fit-shape-to-text:t;">
                    <w:txbxContent>
                      <w:p>
                        <w:pPr>
                          <w:rPr>
                            <w:rFonts w:hint="eastAsia" w:eastAsia="宋体"/>
                            <w:b/>
                            <w:color w:val="FFFF00"/>
                            <w:sz w:val="24"/>
                            <w:lang w:val="en-US" w:eastAsia="zh-CN"/>
                          </w:rPr>
                        </w:pPr>
                        <w:r>
                          <w:rPr>
                            <w:rFonts w:hint="eastAsia"/>
                            <w:b/>
                            <w:color w:val="FFFF00"/>
                            <w:sz w:val="24"/>
                            <w:lang w:val="en-US" w:eastAsia="zh-CN"/>
                          </w:rPr>
                          <w:t>空地</w:t>
                        </w:r>
                      </w:p>
                    </w:txbxContent>
                  </v:textbox>
                </v:shape>
              </w:pict>
            </w:r>
          </w:p>
          <w:p>
            <w:pPr>
              <w:adjustRightInd w:val="0"/>
              <w:spacing w:line="360" w:lineRule="auto"/>
              <w:ind w:firstLine="482"/>
              <w:jc w:val="center"/>
              <w:rPr>
                <w:rFonts w:hint="eastAsia" w:ascii="黑体" w:hAnsi="宋体" w:eastAsia="黑体"/>
                <w:snapToGrid w:val="0"/>
                <w:kern w:val="0"/>
                <w:sz w:val="24"/>
              </w:rPr>
            </w:pPr>
            <w:r>
              <w:rPr>
                <w:rFonts w:ascii="宋体" w:hAnsi="宋体"/>
                <w:bCs/>
                <w:sz w:val="24"/>
              </w:rPr>
              <w:pict>
                <v:shape id="_x0000_s2067" o:spid="_x0000_s2067" o:spt="202" type="#_x0000_t202" style="position:absolute;left:0pt;margin-left:232.35pt;margin-top:20.65pt;height:22.8pt;width:24.5pt;z-index:251728896;mso-width-relative:margin;mso-height-relative:margin;mso-height-percent:200;" filled="f" stroked="f" coordsize="21600,21600">
                  <v:path/>
                  <v:fill on="f" focussize="0,0"/>
                  <v:stroke on="f"/>
                  <v:imagedata o:title=""/>
                  <o:lock v:ext="edit" aspectratio="f"/>
                  <v:textbox style="mso-fit-shape-to-text:t;">
                    <w:txbxContent>
                      <w:p>
                        <w:pPr>
                          <w:rPr>
                            <w:rFonts w:hint="eastAsia" w:eastAsia="宋体"/>
                            <w:b/>
                            <w:color w:val="FFFF00"/>
                            <w:sz w:val="24"/>
                            <w:lang w:val="en-US" w:eastAsia="zh-CN"/>
                          </w:rPr>
                        </w:pPr>
                        <w:r>
                          <w:rPr>
                            <w:rFonts w:hint="eastAsia"/>
                            <w:b/>
                            <w:color w:val="FFFF00"/>
                            <w:sz w:val="24"/>
                            <w:lang w:val="en-US" w:eastAsia="zh-CN"/>
                          </w:rPr>
                          <w:t>经</w:t>
                        </w:r>
                      </w:p>
                      <w:p>
                        <w:pPr>
                          <w:rPr>
                            <w:rFonts w:hint="eastAsia"/>
                            <w:b/>
                            <w:color w:val="FFFF00"/>
                            <w:sz w:val="24"/>
                            <w:lang w:val="en-US" w:eastAsia="zh-CN"/>
                          </w:rPr>
                        </w:pPr>
                        <w:r>
                          <w:rPr>
                            <w:rFonts w:hint="eastAsia"/>
                            <w:b/>
                            <w:color w:val="FFFF00"/>
                            <w:sz w:val="24"/>
                            <w:lang w:val="en-US" w:eastAsia="zh-CN"/>
                          </w:rPr>
                          <w:t>四</w:t>
                        </w:r>
                      </w:p>
                      <w:p>
                        <w:pPr>
                          <w:rPr>
                            <w:b/>
                            <w:color w:val="FFFF00"/>
                            <w:sz w:val="24"/>
                          </w:rPr>
                        </w:pPr>
                        <w:r>
                          <w:rPr>
                            <w:rFonts w:hint="eastAsia"/>
                            <w:b/>
                            <w:color w:val="FFFF00"/>
                            <w:sz w:val="24"/>
                          </w:rPr>
                          <w:t>路</w:t>
                        </w:r>
                      </w:p>
                    </w:txbxContent>
                  </v:textbox>
                </v:shape>
              </w:pict>
            </w:r>
            <w:r>
              <w:rPr>
                <w:rFonts w:ascii="宋体" w:hAnsi="宋体"/>
                <w:bCs/>
                <w:sz w:val="24"/>
              </w:rPr>
              <w:pict>
                <v:shape id="_x0000_s2068" o:spid="_x0000_s2068" o:spt="202" type="#_x0000_t202" style="position:absolute;left:0pt;margin-left:152.65pt;margin-top:18.85pt;height:67.1pt;width:32.55pt;z-index:251729920;mso-width-relative:margin;mso-height-relative:margin;" filled="f" stroked="f" coordsize="21600,21600">
                  <v:path/>
                  <v:fill on="f" focussize="0,0"/>
                  <v:stroke on="f" joinstyle="miter"/>
                  <v:imagedata o:title=""/>
                  <o:lock v:ext="edit"/>
                  <v:textbox>
                    <w:txbxContent>
                      <w:p>
                        <w:pPr>
                          <w:rPr>
                            <w:b/>
                            <w:bCs w:val="0"/>
                            <w:color w:val="FFFF00"/>
                            <w:highlight w:val="none"/>
                          </w:rPr>
                        </w:pPr>
                        <w:r>
                          <w:rPr>
                            <w:rFonts w:hint="eastAsia" w:ascii="宋体" w:hAnsi="宋体"/>
                            <w:b/>
                            <w:bCs w:val="0"/>
                            <w:color w:val="FFFF00"/>
                            <w:sz w:val="24"/>
                            <w:highlight w:val="none"/>
                            <w:lang w:val="en-US" w:eastAsia="zh-CN"/>
                          </w:rPr>
                          <w:t>风机房</w:t>
                        </w:r>
                      </w:p>
                    </w:txbxContent>
                  </v:textbox>
                </v:shape>
              </w:pict>
            </w:r>
            <w:r>
              <w:rPr>
                <w:rFonts w:ascii="黑体" w:eastAsia="黑体"/>
                <w:kern w:val="0"/>
                <w:sz w:val="28"/>
                <w:szCs w:val="28"/>
              </w:rPr>
              <w:pict>
                <v:shape id="_x0000_s2069" o:spid="_x0000_s2069" o:spt="202" type="#_x0000_t202" style="position:absolute;left:0pt;margin-left:182pt;margin-top:8.05pt;height:46.65pt;width:20pt;rotation:-262144f;z-index:251678720;mso-width-relative:margin;mso-height-relative:margin;" filled="f" stroked="t" coordsize="21600,21600">
                  <v:path/>
                  <v:fill on="f" focussize="0,0"/>
                  <v:stroke weight="2pt" color="#FF0000"/>
                  <v:imagedata o:title=""/>
                  <o:lock v:ext="edit" aspectratio="f"/>
                  <v:textbox inset="0mm,0mm,0mm,0mm">
                    <w:txbxContent>
                      <w:p>
                        <w:pPr>
                          <w:jc w:val="center"/>
                          <w:rPr>
                            <w:b/>
                            <w:color w:val="FF0000"/>
                            <w:sz w:val="24"/>
                          </w:rPr>
                        </w:pPr>
                        <w:r>
                          <w:rPr>
                            <w:rFonts w:hint="eastAsia" w:ascii="Times New Roman" w:hAnsi="Times New Roman" w:cs="Times New Roman"/>
                            <w:b/>
                            <w:color w:val="FF0000"/>
                            <w:sz w:val="24"/>
                            <w:lang w:val="en-US" w:eastAsia="zh-CN"/>
                          </w:rPr>
                          <w:t>鼓</w:t>
                        </w:r>
                        <w:r>
                          <w:rPr>
                            <w:rFonts w:hint="eastAsia" w:ascii="Times New Roman" w:hAnsi="Times New Roman" w:cs="Times New Roman"/>
                            <w:b/>
                            <w:bCs w:val="0"/>
                            <w:color w:val="FF0000"/>
                            <w:sz w:val="24"/>
                            <w:lang w:val="en-US" w:eastAsia="zh-CN"/>
                          </w:rPr>
                          <w:t>风</w:t>
                        </w:r>
                        <w:r>
                          <w:rPr>
                            <w:rFonts w:hint="eastAsia"/>
                            <w:b/>
                            <w:color w:val="FF0000"/>
                            <w:sz w:val="24"/>
                          </w:rPr>
                          <w:t>站</w:t>
                        </w:r>
                      </w:p>
                    </w:txbxContent>
                  </v:textbox>
                </v:shape>
              </w:pict>
            </w:r>
          </w:p>
          <w:p>
            <w:pPr>
              <w:adjustRightInd w:val="0"/>
              <w:spacing w:line="360" w:lineRule="auto"/>
              <w:ind w:firstLine="482"/>
              <w:jc w:val="center"/>
              <w:rPr>
                <w:rFonts w:hint="eastAsia" w:ascii="黑体" w:hAnsi="宋体" w:eastAsia="黑体"/>
                <w:snapToGrid w:val="0"/>
                <w:kern w:val="0"/>
                <w:sz w:val="24"/>
              </w:rPr>
            </w:pPr>
            <w:r>
              <w:rPr>
                <w:rFonts w:ascii="黑体" w:eastAsia="黑体"/>
                <w:kern w:val="0"/>
                <w:sz w:val="28"/>
                <w:szCs w:val="28"/>
              </w:rPr>
              <w:pict>
                <v:shape id="文本框 2" o:spid="_x0000_s2070" o:spt="202" type="#_x0000_t202" style="position:absolute;left:0pt;margin-left:100.95pt;margin-top:20.15pt;height:38.4pt;width:34.8pt;z-index:251640832;mso-width-relative:margin;mso-height-relative:margin;mso-height-percent:200;" filled="f" stroked="f" coordsize="21600,21600">
                  <v:path/>
                  <v:fill on="f" focussize="0,0"/>
                  <v:stroke on="f" joinstyle="miter"/>
                  <v:imagedata o:title=""/>
                  <o:lock v:ext="edit"/>
                  <v:textbox style="mso-fit-shape-to-text:t;">
                    <w:txbxContent>
                      <w:p>
                        <w:pPr>
                          <w:rPr>
                            <w:rFonts w:hint="eastAsia" w:eastAsia="宋体"/>
                            <w:b/>
                            <w:color w:val="FFFF00"/>
                            <w:sz w:val="24"/>
                            <w:lang w:val="en-US" w:eastAsia="zh-CN"/>
                          </w:rPr>
                        </w:pPr>
                        <w:r>
                          <w:rPr>
                            <w:rFonts w:hint="eastAsia"/>
                            <w:b/>
                            <w:color w:val="FFFF00"/>
                            <w:sz w:val="24"/>
                            <w:lang w:val="en-US" w:eastAsia="zh-CN"/>
                          </w:rPr>
                          <w:t>高炉区</w:t>
                        </w:r>
                      </w:p>
                    </w:txbxContent>
                  </v:textbox>
                </v:shape>
              </w:pict>
            </w: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r>
              <w:rPr>
                <w:rFonts w:ascii="黑体" w:eastAsia="黑体"/>
                <w:kern w:val="0"/>
                <w:sz w:val="28"/>
                <w:szCs w:val="28"/>
              </w:rPr>
              <w:pict>
                <v:shape id="_x0000_s2071" o:spid="_x0000_s2071" o:spt="202" type="#_x0000_t202" style="position:absolute;left:0pt;margin-left:174.65pt;margin-top:12.35pt;height:22.8pt;width:57.55pt;z-index:251641856;mso-width-relative:margin;mso-height-relative:margin;mso-height-percent:200;" filled="f" stroked="f" coordsize="21600,21600">
                  <v:path/>
                  <v:fill on="f" focussize="0,0"/>
                  <v:stroke on="f"/>
                  <v:imagedata o:title=""/>
                  <o:lock v:ext="edit" aspectratio="f"/>
                  <v:textbox style="mso-fit-shape-to-text:t;">
                    <w:txbxContent>
                      <w:p>
                        <w:pPr>
                          <w:rPr>
                            <w:rFonts w:hint="eastAsia" w:ascii="宋体" w:hAnsi="宋体"/>
                            <w:b/>
                            <w:bCs w:val="0"/>
                            <w:color w:val="FFFF00"/>
                            <w:sz w:val="24"/>
                            <w:lang w:val="en-US" w:eastAsia="zh-CN"/>
                          </w:rPr>
                        </w:pPr>
                        <w:r>
                          <w:rPr>
                            <w:rFonts w:hint="eastAsia" w:ascii="宋体" w:hAnsi="宋体"/>
                            <w:b/>
                            <w:bCs w:val="0"/>
                            <w:color w:val="FFFF00"/>
                            <w:sz w:val="24"/>
                            <w:lang w:val="en-US" w:eastAsia="zh-CN"/>
                          </w:rPr>
                          <w:t>鼓风区</w:t>
                        </w:r>
                      </w:p>
                      <w:p>
                        <w:pPr>
                          <w:rPr>
                            <w:b/>
                            <w:bCs w:val="0"/>
                            <w:color w:val="FFFF00"/>
                          </w:rPr>
                        </w:pPr>
                        <w:r>
                          <w:rPr>
                            <w:rFonts w:hint="eastAsia" w:ascii="宋体" w:hAnsi="宋体"/>
                            <w:b/>
                            <w:bCs w:val="0"/>
                            <w:color w:val="FFFF00"/>
                            <w:sz w:val="24"/>
                            <w:lang w:val="en-US" w:eastAsia="zh-CN"/>
                          </w:rPr>
                          <w:t>配套区</w:t>
                        </w:r>
                      </w:p>
                    </w:txbxContent>
                  </v:textbox>
                </v:shape>
              </w:pict>
            </w: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hint="eastAsia" w:ascii="黑体" w:hAnsi="宋体" w:eastAsia="黑体"/>
                <w:snapToGrid w:val="0"/>
                <w:kern w:val="0"/>
                <w:sz w:val="24"/>
              </w:rPr>
            </w:pPr>
          </w:p>
          <w:p>
            <w:pPr>
              <w:adjustRightInd w:val="0"/>
              <w:spacing w:line="360" w:lineRule="auto"/>
              <w:ind w:firstLine="482"/>
              <w:jc w:val="center"/>
              <w:rPr>
                <w:rFonts w:ascii="黑体" w:hAnsi="宋体" w:eastAsia="黑体"/>
                <w:snapToGrid w:val="0"/>
                <w:kern w:val="0"/>
                <w:sz w:val="24"/>
              </w:rPr>
            </w:pPr>
            <w:r>
              <w:rPr>
                <w:rFonts w:hint="eastAsia" w:ascii="黑体" w:hAnsi="宋体" w:eastAsia="黑体"/>
                <w:snapToGrid w:val="0"/>
                <w:kern w:val="0"/>
                <w:sz w:val="24"/>
              </w:rPr>
              <w:t>图</w:t>
            </w:r>
            <w:r>
              <w:rPr>
                <w:rFonts w:ascii="黑体" w:hAnsi="宋体" w:eastAsia="黑体"/>
                <w:snapToGrid w:val="0"/>
                <w:kern w:val="0"/>
                <w:sz w:val="24"/>
              </w:rPr>
              <w:t>1-</w:t>
            </w:r>
            <w:r>
              <w:rPr>
                <w:rFonts w:hint="eastAsia" w:ascii="黑体" w:hAnsi="宋体" w:eastAsia="黑体"/>
                <w:snapToGrid w:val="0"/>
                <w:kern w:val="0"/>
                <w:sz w:val="24"/>
              </w:rPr>
              <w:t>2</w:t>
            </w:r>
            <w:r>
              <w:rPr>
                <w:rFonts w:ascii="黑体" w:hAnsi="宋体" w:eastAsia="黑体"/>
                <w:snapToGrid w:val="0"/>
                <w:kern w:val="0"/>
                <w:sz w:val="24"/>
              </w:rPr>
              <w:t xml:space="preserve">  </w:t>
            </w:r>
            <w:r>
              <w:rPr>
                <w:rFonts w:hint="eastAsia" w:ascii="黑体" w:hAnsi="宋体" w:eastAsia="黑体" w:cs="Times New Roman"/>
                <w:snapToGrid w:val="0"/>
                <w:kern w:val="0"/>
                <w:sz w:val="24"/>
                <w:lang w:val="en-US" w:eastAsia="zh-CN"/>
              </w:rPr>
              <w:t>炼铁鼓风110kV变电站</w:t>
            </w:r>
            <w:r>
              <w:rPr>
                <w:rFonts w:hint="eastAsia" w:ascii="黑体" w:hAnsi="宋体" w:eastAsia="黑体"/>
                <w:snapToGrid w:val="0"/>
                <w:kern w:val="0"/>
                <w:sz w:val="24"/>
              </w:rPr>
              <w:t>周边关系影像图</w:t>
            </w: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tbl>
            <w:tblPr>
              <w:tblStyle w:val="22"/>
              <w:tblW w:w="9686" w:type="dxa"/>
              <w:jc w:val="center"/>
              <w:tblInd w:w="0" w:type="dxa"/>
              <w:tblLayout w:type="fixed"/>
              <w:tblCellMar>
                <w:top w:w="0" w:type="dxa"/>
                <w:left w:w="108" w:type="dxa"/>
                <w:bottom w:w="0" w:type="dxa"/>
                <w:right w:w="108" w:type="dxa"/>
              </w:tblCellMar>
            </w:tblPr>
            <w:tblGrid>
              <w:gridCol w:w="4803"/>
              <w:gridCol w:w="4883"/>
            </w:tblGrid>
            <w:tr>
              <w:tblPrEx>
                <w:tblLayout w:type="fixed"/>
                <w:tblCellMar>
                  <w:top w:w="0" w:type="dxa"/>
                  <w:left w:w="108" w:type="dxa"/>
                  <w:bottom w:w="0" w:type="dxa"/>
                  <w:right w:w="108" w:type="dxa"/>
                </w:tblCellMar>
              </w:tblPrEx>
              <w:trPr>
                <w:trHeight w:val="464"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widowControl/>
                    <w:jc w:val="center"/>
                    <w:rPr>
                      <w:rFonts w:hint="eastAsia" w:ascii="宋体" w:hAnsi="宋体" w:eastAsia="宋体" w:cs="宋体"/>
                      <w:kern w:val="0"/>
                      <w:sz w:val="24"/>
                      <w:lang w:eastAsia="zh-CN"/>
                    </w:rPr>
                  </w:pPr>
                  <w:r>
                    <w:rPr>
                      <w:rFonts w:hint="eastAsia" w:ascii="宋体" w:hAnsi="宋体" w:eastAsia="宋体" w:cs="宋体"/>
                      <w:kern w:val="0"/>
                      <w:sz w:val="24"/>
                      <w:lang w:eastAsia="zh-CN"/>
                    </w:rPr>
                    <w:drawing>
                      <wp:inline distT="0" distB="0" distL="114300" distR="114300">
                        <wp:extent cx="2867660" cy="2277110"/>
                        <wp:effectExtent l="0" t="0" r="8890" b="8890"/>
                        <wp:docPr id="11" name="图片 11" descr="IMG_20190220_14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20190220_141712"/>
                                <pic:cNvPicPr>
                                  <a:picLocks noChangeAspect="1"/>
                                </pic:cNvPicPr>
                              </pic:nvPicPr>
                              <pic:blipFill>
                                <a:blip r:embed="rId10"/>
                                <a:stretch>
                                  <a:fillRect/>
                                </a:stretch>
                              </pic:blipFill>
                              <pic:spPr>
                                <a:xfrm>
                                  <a:off x="0" y="0"/>
                                  <a:ext cx="2867660" cy="2277110"/>
                                </a:xfrm>
                                <a:prstGeom prst="rect">
                                  <a:avLst/>
                                </a:prstGeom>
                              </pic:spPr>
                            </pic:pic>
                          </a:graphicData>
                        </a:graphic>
                      </wp:inline>
                    </w:drawing>
                  </w:r>
                </w:p>
              </w:tc>
              <w:tc>
                <w:tcPr>
                  <w:tcW w:w="4883" w:type="dxa"/>
                  <w:tcBorders>
                    <w:top w:val="single" w:color="auto" w:sz="4" w:space="0"/>
                    <w:bottom w:val="single" w:color="auto" w:sz="4" w:space="0"/>
                    <w:right w:val="single" w:color="auto" w:sz="4" w:space="0"/>
                  </w:tcBorders>
                  <w:vAlign w:val="center"/>
                </w:tcPr>
                <w:p>
                  <w:pPr>
                    <w:widowControl/>
                    <w:jc w:val="center"/>
                    <w:rPr>
                      <w:rFonts w:hint="eastAsia" w:ascii="宋体" w:hAnsi="宋体" w:eastAsia="宋体" w:cs="宋体"/>
                      <w:kern w:val="0"/>
                      <w:sz w:val="24"/>
                      <w:lang w:eastAsia="zh-CN"/>
                    </w:rPr>
                  </w:pPr>
                  <w:r>
                    <w:rPr>
                      <w:sz w:val="24"/>
                    </w:rPr>
                    <w:pict>
                      <v:shape id="_x0000_s2072" o:spid="_x0000_s2072" o:spt="61" type="#_x0000_t61" style="position:absolute;left:0pt;margin-left:183.2pt;margin-top:69.55pt;height:15.7pt;width:37.6pt;z-index:251732992;mso-width-relative:page;mso-height-relative:page;" fillcolor="#FFFFFF" filled="t" stroked="t" coordsize="21600,21600" adj="-5112,94724">
                        <v:path/>
                        <v:fill on="t" color2="#FFFFFF" focussize="0,0"/>
                        <v:stroke color="#000000"/>
                        <v:imagedata o:title=""/>
                        <o:lock v:ext="edit" aspectratio="f"/>
                        <v:textbox inset="0mm,0mm,0mm,0mm">
                          <w:txbxContent>
                            <w:p>
                              <w:r>
                                <w:rPr>
                                  <w:rFonts w:hint="eastAsia" w:ascii="宋体" w:hAnsi="宋体"/>
                                  <w:sz w:val="24"/>
                                </w:rPr>
                                <w:t>贮油坑</w:t>
                              </w:r>
                            </w:p>
                          </w:txbxContent>
                        </v:textbox>
                      </v:shape>
                    </w:pict>
                  </w:r>
                  <w:r>
                    <w:rPr>
                      <w:rFonts w:hint="eastAsia" w:ascii="宋体" w:hAnsi="宋体" w:eastAsia="宋体" w:cs="宋体"/>
                      <w:kern w:val="0"/>
                      <w:sz w:val="24"/>
                      <w:lang w:eastAsia="zh-CN"/>
                    </w:rPr>
                    <w:drawing>
                      <wp:inline distT="0" distB="0" distL="114300" distR="114300">
                        <wp:extent cx="2949575" cy="2291080"/>
                        <wp:effectExtent l="0" t="0" r="3175" b="13970"/>
                        <wp:docPr id="8" name="图片 8" descr="IMG_0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0326"/>
                                <pic:cNvPicPr>
                                  <a:picLocks noChangeAspect="1"/>
                                </pic:cNvPicPr>
                              </pic:nvPicPr>
                              <pic:blipFill>
                                <a:blip r:embed="rId11"/>
                                <a:stretch>
                                  <a:fillRect/>
                                </a:stretch>
                              </pic:blipFill>
                              <pic:spPr>
                                <a:xfrm>
                                  <a:off x="0" y="0"/>
                                  <a:ext cx="2949575" cy="2291080"/>
                                </a:xfrm>
                                <a:prstGeom prst="rect">
                                  <a:avLst/>
                                </a:prstGeom>
                              </pic:spPr>
                            </pic:pic>
                          </a:graphicData>
                        </a:graphic>
                      </wp:inline>
                    </w:drawing>
                  </w:r>
                </w:p>
              </w:tc>
            </w:tr>
            <w:tr>
              <w:tblPrEx>
                <w:tblLayout w:type="fixed"/>
                <w:tblCellMar>
                  <w:top w:w="0" w:type="dxa"/>
                  <w:left w:w="108" w:type="dxa"/>
                  <w:bottom w:w="0" w:type="dxa"/>
                  <w:right w:w="108" w:type="dxa"/>
                </w:tblCellMar>
              </w:tblPrEx>
              <w:trPr>
                <w:trHeight w:val="464"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hint="eastAsia" w:ascii="黑体" w:hAnsi="宋体" w:eastAsia="黑体" w:cs="宋体"/>
                      <w:sz w:val="18"/>
                      <w:szCs w:val="18"/>
                      <w:lang w:val="en-US" w:eastAsia="zh-CN"/>
                    </w:rPr>
                  </w:pPr>
                  <w:r>
                    <w:rPr>
                      <w:rFonts w:hint="eastAsia" w:ascii="黑体" w:hAnsi="宋体" w:eastAsia="黑体"/>
                      <w:sz w:val="18"/>
                      <w:szCs w:val="18"/>
                      <w:lang w:val="en-US" w:eastAsia="zh-CN"/>
                    </w:rPr>
                    <w:t>1</w:t>
                  </w:r>
                  <w:r>
                    <w:rPr>
                      <w:rFonts w:hint="eastAsia" w:ascii="黑体" w:hAnsi="宋体" w:eastAsia="黑体"/>
                      <w:sz w:val="18"/>
                      <w:szCs w:val="18"/>
                    </w:rPr>
                    <w:t>、</w:t>
                  </w:r>
                  <w:r>
                    <w:rPr>
                      <w:rFonts w:hint="eastAsia" w:ascii="黑体" w:hAnsi="宋体" w:eastAsia="黑体"/>
                      <w:sz w:val="18"/>
                      <w:szCs w:val="18"/>
                      <w:lang w:val="en-US" w:eastAsia="zh-CN"/>
                    </w:rPr>
                    <w:t>无功补偿区</w:t>
                  </w:r>
                </w:p>
              </w:tc>
              <w:tc>
                <w:tcPr>
                  <w:tcW w:w="4883"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lang w:val="en-US" w:eastAsia="zh-CN"/>
                    </w:rPr>
                    <w:t>2</w:t>
                  </w:r>
                  <w:r>
                    <w:rPr>
                      <w:rFonts w:hint="eastAsia" w:ascii="黑体" w:hAnsi="宋体" w:eastAsia="黑体"/>
                      <w:sz w:val="18"/>
                      <w:szCs w:val="18"/>
                    </w:rPr>
                    <w:t>、1#主变</w:t>
                  </w:r>
                </w:p>
              </w:tc>
            </w:tr>
            <w:tr>
              <w:tblPrEx>
                <w:tblLayout w:type="fixed"/>
                <w:tblCellMar>
                  <w:top w:w="0" w:type="dxa"/>
                  <w:left w:w="108" w:type="dxa"/>
                  <w:bottom w:w="0" w:type="dxa"/>
                  <w:right w:w="108" w:type="dxa"/>
                </w:tblCellMar>
              </w:tblPrEx>
              <w:trPr>
                <w:trHeight w:val="2809"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hint="eastAsia" w:ascii="黑体" w:hAnsi="宋体" w:eastAsia="黑体"/>
                      <w:sz w:val="18"/>
                      <w:szCs w:val="18"/>
                      <w:lang w:eastAsia="zh-CN"/>
                    </w:rPr>
                  </w:pPr>
                  <w:r>
                    <w:rPr>
                      <w:rFonts w:hint="eastAsia" w:ascii="黑体" w:hAnsi="宋体" w:eastAsia="黑体"/>
                      <w:sz w:val="18"/>
                      <w:szCs w:val="18"/>
                      <w:lang w:eastAsia="zh-CN"/>
                    </w:rPr>
                    <w:drawing>
                      <wp:inline distT="0" distB="0" distL="114300" distR="114300">
                        <wp:extent cx="2902585" cy="2176780"/>
                        <wp:effectExtent l="0" t="0" r="12065" b="13970"/>
                        <wp:docPr id="9" name="图片 9" descr="IMG_0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0328"/>
                                <pic:cNvPicPr>
                                  <a:picLocks noChangeAspect="1"/>
                                </pic:cNvPicPr>
                              </pic:nvPicPr>
                              <pic:blipFill>
                                <a:blip r:embed="rId12"/>
                                <a:stretch>
                                  <a:fillRect/>
                                </a:stretch>
                              </pic:blipFill>
                              <pic:spPr>
                                <a:xfrm>
                                  <a:off x="0" y="0"/>
                                  <a:ext cx="2902585" cy="2176780"/>
                                </a:xfrm>
                                <a:prstGeom prst="rect">
                                  <a:avLst/>
                                </a:prstGeom>
                              </pic:spPr>
                            </pic:pic>
                          </a:graphicData>
                        </a:graphic>
                      </wp:inline>
                    </w:drawing>
                  </w:r>
                </w:p>
              </w:tc>
              <w:tc>
                <w:tcPr>
                  <w:tcW w:w="4883" w:type="dxa"/>
                  <w:tcBorders>
                    <w:top w:val="single" w:color="auto" w:sz="4" w:space="0"/>
                    <w:bottom w:val="single" w:color="auto" w:sz="4" w:space="0"/>
                    <w:right w:val="single" w:color="auto" w:sz="4" w:space="0"/>
                  </w:tcBorders>
                  <w:vAlign w:val="center"/>
                </w:tcPr>
                <w:p>
                  <w:pPr>
                    <w:adjustRightInd w:val="0"/>
                    <w:jc w:val="center"/>
                    <w:rPr>
                      <w:rFonts w:hint="eastAsia" w:ascii="黑体" w:hAnsi="宋体" w:eastAsia="黑体"/>
                      <w:sz w:val="18"/>
                      <w:szCs w:val="18"/>
                      <w:lang w:eastAsia="zh-CN"/>
                    </w:rPr>
                  </w:pPr>
                  <w:r>
                    <w:rPr>
                      <w:rFonts w:hint="eastAsia" w:ascii="黑体" w:hAnsi="宋体" w:eastAsia="黑体"/>
                      <w:sz w:val="18"/>
                      <w:szCs w:val="18"/>
                      <w:lang w:eastAsia="zh-CN"/>
                    </w:rPr>
                    <w:drawing>
                      <wp:inline distT="0" distB="0" distL="114300" distR="114300">
                        <wp:extent cx="2949575" cy="2212340"/>
                        <wp:effectExtent l="0" t="0" r="3175" b="16510"/>
                        <wp:docPr id="10" name="图片 10" descr="IMG_0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0331"/>
                                <pic:cNvPicPr>
                                  <a:picLocks noChangeAspect="1"/>
                                </pic:cNvPicPr>
                              </pic:nvPicPr>
                              <pic:blipFill>
                                <a:blip r:embed="rId13"/>
                                <a:stretch>
                                  <a:fillRect/>
                                </a:stretch>
                              </pic:blipFill>
                              <pic:spPr>
                                <a:xfrm>
                                  <a:off x="0" y="0"/>
                                  <a:ext cx="2949575" cy="2212340"/>
                                </a:xfrm>
                                <a:prstGeom prst="rect">
                                  <a:avLst/>
                                </a:prstGeom>
                              </pic:spPr>
                            </pic:pic>
                          </a:graphicData>
                        </a:graphic>
                      </wp:inline>
                    </w:drawing>
                  </w:r>
                </w:p>
              </w:tc>
            </w:tr>
            <w:tr>
              <w:tblPrEx>
                <w:tblLayout w:type="fixed"/>
                <w:tblCellMar>
                  <w:top w:w="0" w:type="dxa"/>
                  <w:left w:w="108" w:type="dxa"/>
                  <w:bottom w:w="0" w:type="dxa"/>
                  <w:right w:w="108" w:type="dxa"/>
                </w:tblCellMar>
              </w:tblPrEx>
              <w:trPr>
                <w:trHeight w:val="454"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lang w:val="en-US" w:eastAsia="zh-CN"/>
                    </w:rPr>
                    <w:t>3</w:t>
                  </w:r>
                  <w:r>
                    <w:rPr>
                      <w:rFonts w:hint="eastAsia" w:ascii="黑体" w:hAnsi="宋体" w:eastAsia="黑体"/>
                      <w:sz w:val="18"/>
                      <w:szCs w:val="18"/>
                    </w:rPr>
                    <w:t>、2#主变</w:t>
                  </w:r>
                </w:p>
              </w:tc>
              <w:tc>
                <w:tcPr>
                  <w:tcW w:w="4883"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lang w:val="en-US" w:eastAsia="zh-CN"/>
                    </w:rPr>
                    <w:t>4</w:t>
                  </w:r>
                  <w:r>
                    <w:rPr>
                      <w:rFonts w:hint="eastAsia" w:ascii="黑体" w:hAnsi="宋体" w:eastAsia="黑体"/>
                      <w:sz w:val="18"/>
                      <w:szCs w:val="18"/>
                    </w:rPr>
                    <w:t>、3#主变</w:t>
                  </w:r>
                </w:p>
              </w:tc>
            </w:tr>
          </w:tbl>
          <w:p>
            <w:pPr>
              <w:adjustRightInd w:val="0"/>
              <w:spacing w:line="360" w:lineRule="auto"/>
              <w:ind w:firstLine="960" w:firstLineChars="400"/>
              <w:jc w:val="center"/>
              <w:rPr>
                <w:rFonts w:ascii="黑体" w:hAnsi="宋体" w:eastAsia="黑体"/>
                <w:snapToGrid w:val="0"/>
                <w:kern w:val="0"/>
                <w:sz w:val="24"/>
              </w:rPr>
            </w:pPr>
            <w:r>
              <w:rPr>
                <w:rFonts w:hint="eastAsia" w:ascii="黑体" w:hAnsi="宋体" w:eastAsia="黑体"/>
                <w:snapToGrid w:val="0"/>
                <w:kern w:val="0"/>
                <w:sz w:val="24"/>
              </w:rPr>
              <w:t>图</w:t>
            </w:r>
            <w:r>
              <w:rPr>
                <w:rFonts w:ascii="黑体" w:hAnsi="宋体" w:eastAsia="黑体"/>
                <w:snapToGrid w:val="0"/>
                <w:kern w:val="0"/>
                <w:sz w:val="24"/>
              </w:rPr>
              <w:t>1-</w:t>
            </w:r>
            <w:r>
              <w:rPr>
                <w:rFonts w:hint="eastAsia" w:ascii="黑体" w:hAnsi="宋体" w:eastAsia="黑体"/>
                <w:snapToGrid w:val="0"/>
                <w:kern w:val="0"/>
                <w:sz w:val="24"/>
              </w:rPr>
              <w:t>3</w:t>
            </w:r>
            <w:r>
              <w:rPr>
                <w:rFonts w:ascii="黑体" w:hAnsi="宋体" w:eastAsia="黑体"/>
                <w:snapToGrid w:val="0"/>
                <w:kern w:val="0"/>
                <w:sz w:val="24"/>
              </w:rPr>
              <w:t xml:space="preserve">  </w:t>
            </w:r>
            <w:r>
              <w:rPr>
                <w:rFonts w:hint="eastAsia" w:ascii="黑体" w:hAnsi="宋体" w:eastAsia="黑体"/>
                <w:snapToGrid w:val="0"/>
                <w:kern w:val="0"/>
                <w:sz w:val="24"/>
              </w:rPr>
              <w:t>变电站内现场照片（拍摄于</w:t>
            </w:r>
            <w:r>
              <w:rPr>
                <w:rFonts w:ascii="黑体" w:hAnsi="宋体" w:eastAsia="黑体"/>
                <w:snapToGrid w:val="0"/>
                <w:kern w:val="0"/>
                <w:sz w:val="24"/>
              </w:rPr>
              <w:t>201</w:t>
            </w:r>
            <w:r>
              <w:rPr>
                <w:rFonts w:hint="eastAsia" w:ascii="黑体" w:hAnsi="宋体" w:eastAsia="黑体"/>
                <w:snapToGrid w:val="0"/>
                <w:kern w:val="0"/>
                <w:sz w:val="24"/>
              </w:rPr>
              <w:t>9年</w:t>
            </w:r>
            <w:r>
              <w:rPr>
                <w:rFonts w:hint="eastAsia" w:ascii="黑体" w:hAnsi="宋体" w:eastAsia="黑体"/>
                <w:snapToGrid w:val="0"/>
                <w:kern w:val="0"/>
                <w:sz w:val="24"/>
                <w:lang w:eastAsia="zh-CN"/>
              </w:rPr>
              <w:t>2月20日</w:t>
            </w:r>
            <w:r>
              <w:rPr>
                <w:rFonts w:hint="eastAsia" w:ascii="黑体" w:hAnsi="宋体" w:eastAsia="黑体"/>
                <w:snapToGrid w:val="0"/>
                <w:kern w:val="0"/>
                <w:sz w:val="24"/>
              </w:rPr>
              <w:t>）</w:t>
            </w:r>
          </w:p>
          <w:tbl>
            <w:tblPr>
              <w:tblStyle w:val="22"/>
              <w:tblW w:w="9700" w:type="dxa"/>
              <w:jc w:val="center"/>
              <w:tblInd w:w="0" w:type="dxa"/>
              <w:tblLayout w:type="fixed"/>
              <w:tblCellMar>
                <w:top w:w="0" w:type="dxa"/>
                <w:left w:w="108" w:type="dxa"/>
                <w:bottom w:w="0" w:type="dxa"/>
                <w:right w:w="108" w:type="dxa"/>
              </w:tblCellMar>
            </w:tblPr>
            <w:tblGrid>
              <w:gridCol w:w="4883"/>
              <w:gridCol w:w="4817"/>
            </w:tblGrid>
            <w:tr>
              <w:tblPrEx>
                <w:tblLayout w:type="fixed"/>
                <w:tblCellMar>
                  <w:top w:w="0" w:type="dxa"/>
                  <w:left w:w="108" w:type="dxa"/>
                  <w:bottom w:w="0" w:type="dxa"/>
                  <w:right w:w="108" w:type="dxa"/>
                </w:tblCellMar>
              </w:tblPrEx>
              <w:trPr>
                <w:trHeight w:val="2809" w:hRule="atLeast"/>
                <w:jc w:val="center"/>
              </w:trPr>
              <w:tc>
                <w:tcPr>
                  <w:tcW w:w="4883" w:type="dxa"/>
                  <w:tcBorders>
                    <w:top w:val="single" w:color="auto" w:sz="4" w:space="0"/>
                    <w:left w:val="single" w:color="auto" w:sz="4" w:space="0"/>
                    <w:bottom w:val="single" w:color="auto" w:sz="4" w:space="0"/>
                    <w:right w:val="single" w:color="auto" w:sz="4" w:space="0"/>
                  </w:tcBorders>
                  <w:vAlign w:val="center"/>
                </w:tcPr>
                <w:p>
                  <w:pPr>
                    <w:widowControl/>
                    <w:jc w:val="center"/>
                    <w:rPr>
                      <w:rFonts w:hint="eastAsia" w:ascii="宋体" w:hAnsi="宋体" w:eastAsia="宋体" w:cs="宋体"/>
                      <w:kern w:val="0"/>
                      <w:sz w:val="24"/>
                      <w:lang w:eastAsia="zh-CN"/>
                    </w:rPr>
                  </w:pPr>
                  <w:r>
                    <w:rPr>
                      <w:sz w:val="24"/>
                    </w:rPr>
                    <w:pict>
                      <v:shape id="_x0000_s2073" o:spid="_x0000_s2073" o:spt="13" type="#_x0000_t13" style="position:absolute;left:0pt;margin-left:111.2pt;margin-top:47.85pt;height:13.1pt;width:46.25pt;z-index:251735040;mso-width-relative:page;mso-height-relative:page;" fillcolor="#FF0000" filled="t" stroked="t" coordsize="21600,21600" adj="16200,5400">
                        <v:path/>
                        <v:fill on="t" color2="#FFFFFF" focussize="0,0"/>
                        <v:stroke color="#FF0000"/>
                        <v:imagedata o:title=""/>
                        <o:lock v:ext="edit" aspectratio="f"/>
                      </v:shape>
                    </w:pict>
                  </w:r>
                  <w:r>
                    <w:rPr>
                      <w:sz w:val="24"/>
                    </w:rPr>
                    <w:pict>
                      <v:shape id="_x0000_s2074" o:spid="_x0000_s2074" o:spt="202" type="#_x0000_t202" style="position:absolute;left:0pt;margin-left:156.85pt;margin-top:36pt;height:31.9pt;width:42.5pt;z-index:251734016;mso-width-relative:page;mso-height-relative:page;" filled="f" stroked="f" coordsize="21600,21600">
                        <v:path/>
                        <v:fill on="f" focussize="0,0"/>
                        <v:stroke on="f"/>
                        <v:imagedata o:title=""/>
                        <o:lock v:ext="edit" aspectratio="f"/>
                        <v:textbox>
                          <w:txbxContent>
                            <w:p>
                              <w:pPr>
                                <w:rPr>
                                  <w:rFonts w:hint="eastAsia" w:eastAsia="宋体"/>
                                  <w:b/>
                                  <w:bCs/>
                                  <w:color w:val="FF0000"/>
                                  <w:sz w:val="36"/>
                                  <w:szCs w:val="36"/>
                                  <w:lang w:val="en-US" w:eastAsia="zh-CN"/>
                                </w:rPr>
                              </w:pPr>
                              <w:r>
                                <w:rPr>
                                  <w:rFonts w:hint="eastAsia"/>
                                  <w:b/>
                                  <w:bCs/>
                                  <w:color w:val="FF0000"/>
                                  <w:sz w:val="36"/>
                                  <w:szCs w:val="36"/>
                                  <w:lang w:val="en-US" w:eastAsia="zh-CN"/>
                                </w:rPr>
                                <w:t>东</w:t>
                              </w:r>
                            </w:p>
                          </w:txbxContent>
                        </v:textbox>
                      </v:shape>
                    </w:pict>
                  </w:r>
                  <w:r>
                    <w:rPr>
                      <w:rFonts w:hint="eastAsia" w:ascii="宋体" w:hAnsi="宋体" w:eastAsia="宋体" w:cs="宋体"/>
                      <w:kern w:val="0"/>
                      <w:sz w:val="24"/>
                      <w:lang w:eastAsia="zh-CN"/>
                    </w:rPr>
                    <w:drawing>
                      <wp:inline distT="0" distB="0" distL="114300" distR="114300">
                        <wp:extent cx="2949575" cy="2473325"/>
                        <wp:effectExtent l="0" t="0" r="3175" b="3175"/>
                        <wp:docPr id="12" name="图片 12" descr="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东"/>
                                <pic:cNvPicPr>
                                  <a:picLocks noChangeAspect="1"/>
                                </pic:cNvPicPr>
                              </pic:nvPicPr>
                              <pic:blipFill>
                                <a:blip r:embed="rId14"/>
                                <a:stretch>
                                  <a:fillRect/>
                                </a:stretch>
                              </pic:blipFill>
                              <pic:spPr>
                                <a:xfrm>
                                  <a:off x="0" y="0"/>
                                  <a:ext cx="2949575" cy="2473325"/>
                                </a:xfrm>
                                <a:prstGeom prst="rect">
                                  <a:avLst/>
                                </a:prstGeom>
                              </pic:spPr>
                            </pic:pic>
                          </a:graphicData>
                        </a:graphic>
                      </wp:inline>
                    </w:drawing>
                  </w:r>
                </w:p>
              </w:tc>
              <w:tc>
                <w:tcPr>
                  <w:tcW w:w="4817" w:type="dxa"/>
                  <w:tcBorders>
                    <w:top w:val="single" w:color="auto" w:sz="4" w:space="0"/>
                    <w:bottom w:val="single" w:color="auto" w:sz="4" w:space="0"/>
                    <w:right w:val="single" w:color="auto" w:sz="4" w:space="0"/>
                  </w:tcBorders>
                  <w:vAlign w:val="center"/>
                </w:tcPr>
                <w:p>
                  <w:pPr>
                    <w:widowControl/>
                    <w:jc w:val="center"/>
                    <w:rPr>
                      <w:rFonts w:hint="eastAsia" w:ascii="宋体" w:hAnsi="宋体" w:eastAsia="宋体" w:cs="宋体"/>
                      <w:kern w:val="0"/>
                      <w:sz w:val="24"/>
                      <w:lang w:eastAsia="zh-CN"/>
                    </w:rPr>
                  </w:pPr>
                  <w:r>
                    <w:rPr>
                      <w:sz w:val="24"/>
                    </w:rPr>
                    <w:pict>
                      <v:shape id="_x0000_s2075" o:spid="_x0000_s2075" o:spt="13" type="#_x0000_t13" style="position:absolute;left:0pt;margin-left:57.2pt;margin-top:49.2pt;height:13.1pt;width:46.25pt;rotation:11796480f;z-index:251737088;mso-width-relative:page;mso-height-relative:page;" fillcolor="#FF0000" filled="t" stroked="t" coordsize="21600,21600" adj="16200,5400">
                        <v:path/>
                        <v:fill on="t" color2="#FFFFFF" focussize="0,0"/>
                        <v:stroke color="#FF0000" joinstyle="miter"/>
                        <v:imagedata o:title=""/>
                        <o:lock v:ext="edit" aspectratio="f"/>
                      </v:shape>
                    </w:pict>
                  </w:r>
                  <w:r>
                    <w:rPr>
                      <w:sz w:val="24"/>
                    </w:rPr>
                    <w:pict>
                      <v:shape id="_x0000_s2076" o:spid="_x0000_s2076" o:spt="202" type="#_x0000_t202" style="position:absolute;left:0pt;margin-left:24.8pt;margin-top:36.25pt;height:31.9pt;width:42.5pt;z-index:251736064;mso-width-relative:page;mso-height-relative:page;" filled="f" stroked="f" coordsize="21600,21600">
                        <v:path/>
                        <v:fill on="f" focussize="0,0"/>
                        <v:stroke on="f"/>
                        <v:imagedata o:title=""/>
                        <o:lock v:ext="edit" aspectratio="f"/>
                        <v:textbox>
                          <w:txbxContent>
                            <w:p>
                              <w:pPr>
                                <w:rPr>
                                  <w:rFonts w:hint="eastAsia" w:eastAsia="宋体"/>
                                  <w:b/>
                                  <w:bCs/>
                                  <w:color w:val="FF0000"/>
                                  <w:sz w:val="36"/>
                                  <w:szCs w:val="36"/>
                                  <w:lang w:val="en-US" w:eastAsia="zh-CN"/>
                                </w:rPr>
                              </w:pPr>
                              <w:r>
                                <w:rPr>
                                  <w:rFonts w:hint="eastAsia"/>
                                  <w:b/>
                                  <w:bCs/>
                                  <w:color w:val="FF0000"/>
                                  <w:sz w:val="36"/>
                                  <w:szCs w:val="36"/>
                                  <w:lang w:val="en-US" w:eastAsia="zh-CN"/>
                                </w:rPr>
                                <w:t>南</w:t>
                              </w:r>
                            </w:p>
                          </w:txbxContent>
                        </v:textbox>
                      </v:shape>
                    </w:pict>
                  </w:r>
                  <w:r>
                    <w:rPr>
                      <w:rFonts w:hint="eastAsia" w:ascii="宋体" w:hAnsi="宋体" w:eastAsia="宋体" w:cs="宋体"/>
                      <w:kern w:val="0"/>
                      <w:sz w:val="24"/>
                      <w:lang w:eastAsia="zh-CN"/>
                    </w:rPr>
                    <w:drawing>
                      <wp:inline distT="0" distB="0" distL="114300" distR="114300">
                        <wp:extent cx="2902585" cy="2470150"/>
                        <wp:effectExtent l="0" t="0" r="12065" b="6350"/>
                        <wp:docPr id="13" name="图片 13" descr="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南"/>
                                <pic:cNvPicPr>
                                  <a:picLocks noChangeAspect="1"/>
                                </pic:cNvPicPr>
                              </pic:nvPicPr>
                              <pic:blipFill>
                                <a:blip r:embed="rId15"/>
                                <a:stretch>
                                  <a:fillRect/>
                                </a:stretch>
                              </pic:blipFill>
                              <pic:spPr>
                                <a:xfrm>
                                  <a:off x="0" y="0"/>
                                  <a:ext cx="2902585" cy="2470150"/>
                                </a:xfrm>
                                <a:prstGeom prst="rect">
                                  <a:avLst/>
                                </a:prstGeom>
                              </pic:spPr>
                            </pic:pic>
                          </a:graphicData>
                        </a:graphic>
                      </wp:inline>
                    </w:drawing>
                  </w:r>
                </w:p>
              </w:tc>
            </w:tr>
            <w:tr>
              <w:tblPrEx>
                <w:tblLayout w:type="fixed"/>
                <w:tblCellMar>
                  <w:top w:w="0" w:type="dxa"/>
                  <w:left w:w="108" w:type="dxa"/>
                  <w:bottom w:w="0" w:type="dxa"/>
                  <w:right w:w="108" w:type="dxa"/>
                </w:tblCellMar>
              </w:tblPrEx>
              <w:trPr>
                <w:trHeight w:val="451" w:hRule="atLeast"/>
                <w:jc w:val="center"/>
              </w:trPr>
              <w:tc>
                <w:tcPr>
                  <w:tcW w:w="488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sz w:val="18"/>
                      <w:szCs w:val="18"/>
                    </w:rPr>
                  </w:pPr>
                  <w:r>
                    <w:rPr>
                      <w:rFonts w:hint="eastAsia" w:ascii="黑体" w:hAnsi="宋体" w:eastAsia="黑体"/>
                      <w:sz w:val="18"/>
                      <w:szCs w:val="18"/>
                    </w:rPr>
                    <w:t>1、变电站东侧</w:t>
                  </w:r>
                </w:p>
              </w:tc>
              <w:tc>
                <w:tcPr>
                  <w:tcW w:w="4817"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ascii="黑体" w:hAnsi="宋体" w:eastAsia="黑体"/>
                      <w:sz w:val="18"/>
                      <w:szCs w:val="18"/>
                    </w:rPr>
                    <w:t>2</w:t>
                  </w:r>
                  <w:r>
                    <w:rPr>
                      <w:rFonts w:hint="eastAsia" w:ascii="黑体" w:hAnsi="宋体" w:eastAsia="黑体"/>
                      <w:sz w:val="18"/>
                      <w:szCs w:val="18"/>
                    </w:rPr>
                    <w:t>、变电站南侧</w:t>
                  </w:r>
                </w:p>
              </w:tc>
            </w:tr>
            <w:tr>
              <w:tblPrEx>
                <w:tblLayout w:type="fixed"/>
                <w:tblCellMar>
                  <w:top w:w="0" w:type="dxa"/>
                  <w:left w:w="108" w:type="dxa"/>
                  <w:bottom w:w="0" w:type="dxa"/>
                  <w:right w:w="108" w:type="dxa"/>
                </w:tblCellMar>
              </w:tblPrEx>
              <w:trPr>
                <w:trHeight w:val="2781" w:hRule="atLeast"/>
                <w:jc w:val="center"/>
              </w:trPr>
              <w:tc>
                <w:tcPr>
                  <w:tcW w:w="4883" w:type="dxa"/>
                  <w:tcBorders>
                    <w:top w:val="single" w:color="auto" w:sz="4" w:space="0"/>
                    <w:left w:val="single" w:color="auto" w:sz="4" w:space="0"/>
                    <w:bottom w:val="single" w:color="auto" w:sz="4" w:space="0"/>
                    <w:right w:val="single" w:color="auto" w:sz="4" w:space="0"/>
                  </w:tcBorders>
                  <w:vAlign w:val="center"/>
                </w:tcPr>
                <w:p>
                  <w:pPr>
                    <w:jc w:val="center"/>
                    <w:rPr>
                      <w:rFonts w:hint="eastAsia" w:ascii="宋体" w:hAnsi="宋体" w:eastAsia="宋体" w:cs="宋体"/>
                      <w:sz w:val="24"/>
                      <w:lang w:eastAsia="zh-CN"/>
                    </w:rPr>
                  </w:pPr>
                  <w:r>
                    <w:rPr>
                      <w:sz w:val="24"/>
                    </w:rPr>
                    <w:pict>
                      <v:shape id="_x0000_s2077" o:spid="_x0000_s2077" o:spt="13" type="#_x0000_t13" style="position:absolute;left:0pt;margin-left:126.55pt;margin-top:59.2pt;height:13.1pt;width:46.25pt;z-index:251746304;mso-width-relative:page;mso-height-relative:page;" fillcolor="#FF0000" filled="t" stroked="t" coordsize="21600,21600" adj="16200,5400">
                        <v:path/>
                        <v:fill on="t" color2="#FFFFFF" focussize="0,0"/>
                        <v:stroke color="#FF0000"/>
                        <v:imagedata o:title=""/>
                        <o:lock v:ext="edit" aspectratio="f"/>
                      </v:shape>
                    </w:pict>
                  </w:r>
                  <w:r>
                    <w:rPr>
                      <w:sz w:val="24"/>
                    </w:rPr>
                    <w:pict>
                      <v:shape id="_x0000_s2078" o:spid="_x0000_s2078" o:spt="202" type="#_x0000_t202" style="position:absolute;left:0pt;margin-left:170.85pt;margin-top:46.85pt;height:31.9pt;width:42.5pt;z-index:251744256;mso-width-relative:page;mso-height-relative:page;" filled="f" stroked="f" coordsize="21600,21600">
                        <v:path/>
                        <v:fill on="f" focussize="0,0"/>
                        <v:stroke on="f"/>
                        <v:imagedata o:title=""/>
                        <o:lock v:ext="edit" aspectratio="f"/>
                        <v:textbox>
                          <w:txbxContent>
                            <w:p>
                              <w:pPr>
                                <w:rPr>
                                  <w:rFonts w:hint="eastAsia" w:eastAsia="宋体"/>
                                  <w:b/>
                                  <w:bCs/>
                                  <w:color w:val="FF0000"/>
                                  <w:sz w:val="36"/>
                                  <w:szCs w:val="36"/>
                                  <w:lang w:val="en-US" w:eastAsia="zh-CN"/>
                                </w:rPr>
                              </w:pPr>
                              <w:r>
                                <w:rPr>
                                  <w:rFonts w:hint="eastAsia"/>
                                  <w:b/>
                                  <w:bCs/>
                                  <w:color w:val="FF0000"/>
                                  <w:sz w:val="36"/>
                                  <w:szCs w:val="36"/>
                                  <w:lang w:val="en-US" w:eastAsia="zh-CN"/>
                                </w:rPr>
                                <w:t>西</w:t>
                              </w:r>
                            </w:p>
                          </w:txbxContent>
                        </v:textbox>
                      </v:shape>
                    </w:pict>
                  </w:r>
                  <w:r>
                    <w:rPr>
                      <w:rFonts w:hint="eastAsia" w:ascii="宋体" w:hAnsi="宋体" w:eastAsia="宋体" w:cs="宋体"/>
                      <w:sz w:val="24"/>
                      <w:lang w:eastAsia="zh-CN"/>
                    </w:rPr>
                    <w:drawing>
                      <wp:inline distT="0" distB="0" distL="114300" distR="114300">
                        <wp:extent cx="2949575" cy="2433955"/>
                        <wp:effectExtent l="0" t="0" r="3175" b="4445"/>
                        <wp:docPr id="14" name="图片 14" descr="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西"/>
                                <pic:cNvPicPr>
                                  <a:picLocks noChangeAspect="1"/>
                                </pic:cNvPicPr>
                              </pic:nvPicPr>
                              <pic:blipFill>
                                <a:blip r:embed="rId16"/>
                                <a:stretch>
                                  <a:fillRect/>
                                </a:stretch>
                              </pic:blipFill>
                              <pic:spPr>
                                <a:xfrm>
                                  <a:off x="0" y="0"/>
                                  <a:ext cx="2949575" cy="2433955"/>
                                </a:xfrm>
                                <a:prstGeom prst="rect">
                                  <a:avLst/>
                                </a:prstGeom>
                              </pic:spPr>
                            </pic:pic>
                          </a:graphicData>
                        </a:graphic>
                      </wp:inline>
                    </w:drawing>
                  </w:r>
                </w:p>
              </w:tc>
              <w:tc>
                <w:tcPr>
                  <w:tcW w:w="4817" w:type="dxa"/>
                  <w:tcBorders>
                    <w:top w:val="single" w:color="auto" w:sz="4" w:space="0"/>
                    <w:bottom w:val="single" w:color="auto" w:sz="4" w:space="0"/>
                    <w:right w:val="single" w:color="auto" w:sz="4" w:space="0"/>
                  </w:tcBorders>
                  <w:vAlign w:val="center"/>
                </w:tcPr>
                <w:p>
                  <w:pPr>
                    <w:widowControl/>
                    <w:jc w:val="center"/>
                    <w:rPr>
                      <w:rFonts w:hint="eastAsia" w:ascii="宋体" w:hAnsi="宋体" w:eastAsia="宋体" w:cs="宋体"/>
                      <w:kern w:val="0"/>
                      <w:sz w:val="24"/>
                      <w:lang w:eastAsia="zh-CN"/>
                    </w:rPr>
                  </w:pPr>
                  <w:r>
                    <w:rPr>
                      <w:sz w:val="24"/>
                    </w:rPr>
                    <w:pict>
                      <v:shape id="_x0000_s2079" o:spid="_x0000_s2079" o:spt="13" type="#_x0000_t13" style="position:absolute;left:0pt;margin-left:101.55pt;margin-top:34.2pt;height:13.1pt;width:46.25pt;z-index:251745280;mso-width-relative:page;mso-height-relative:page;" fillcolor="#FF0000" filled="t" stroked="t" coordsize="21600,21600" adj="16200,5400">
                        <v:path/>
                        <v:fill on="t" color2="#FFFFFF" focussize="0,0"/>
                        <v:stroke color="#FF0000"/>
                        <v:imagedata o:title=""/>
                        <o:lock v:ext="edit" aspectratio="f"/>
                      </v:shape>
                    </w:pict>
                  </w:r>
                  <w:r>
                    <w:rPr>
                      <w:sz w:val="24"/>
                    </w:rPr>
                    <w:pict>
                      <v:shape id="_x0000_s2080" o:spid="_x0000_s2080" o:spt="202" type="#_x0000_t202" style="position:absolute;left:0pt;margin-left:144.7pt;margin-top:22.3pt;height:31.9pt;width:42.5pt;z-index:251734016;mso-width-relative:page;mso-height-relative:page;" filled="f" stroked="f" coordsize="21600,21600">
                        <v:path/>
                        <v:fill on="f" focussize="0,0"/>
                        <v:stroke on="f"/>
                        <v:imagedata o:title=""/>
                        <o:lock v:ext="edit" aspectratio="f"/>
                        <v:textbox>
                          <w:txbxContent>
                            <w:p>
                              <w:pPr>
                                <w:rPr>
                                  <w:rFonts w:hint="eastAsia" w:eastAsia="宋体"/>
                                  <w:b/>
                                  <w:bCs/>
                                  <w:color w:val="FF0000"/>
                                  <w:sz w:val="36"/>
                                  <w:szCs w:val="36"/>
                                  <w:lang w:val="en-US" w:eastAsia="zh-CN"/>
                                </w:rPr>
                              </w:pPr>
                              <w:r>
                                <w:rPr>
                                  <w:rFonts w:hint="eastAsia"/>
                                  <w:b/>
                                  <w:bCs/>
                                  <w:color w:val="FF0000"/>
                                  <w:sz w:val="36"/>
                                  <w:szCs w:val="36"/>
                                  <w:lang w:val="en-US" w:eastAsia="zh-CN"/>
                                </w:rPr>
                                <w:t>北</w:t>
                              </w:r>
                            </w:p>
                          </w:txbxContent>
                        </v:textbox>
                      </v:shape>
                    </w:pict>
                  </w:r>
                  <w:r>
                    <w:rPr>
                      <w:rFonts w:hint="eastAsia" w:ascii="宋体" w:hAnsi="宋体" w:eastAsia="宋体" w:cs="宋体"/>
                      <w:kern w:val="0"/>
                      <w:sz w:val="24"/>
                      <w:lang w:eastAsia="zh-CN"/>
                    </w:rPr>
                    <w:drawing>
                      <wp:inline distT="0" distB="0" distL="114300" distR="114300">
                        <wp:extent cx="2902585" cy="2462530"/>
                        <wp:effectExtent l="0" t="0" r="12065" b="13970"/>
                        <wp:docPr id="15" name="图片 15" descr="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北"/>
                                <pic:cNvPicPr>
                                  <a:picLocks noChangeAspect="1"/>
                                </pic:cNvPicPr>
                              </pic:nvPicPr>
                              <pic:blipFill>
                                <a:blip r:embed="rId17"/>
                                <a:stretch>
                                  <a:fillRect/>
                                </a:stretch>
                              </pic:blipFill>
                              <pic:spPr>
                                <a:xfrm>
                                  <a:off x="0" y="0"/>
                                  <a:ext cx="2902585" cy="2462530"/>
                                </a:xfrm>
                                <a:prstGeom prst="rect">
                                  <a:avLst/>
                                </a:prstGeom>
                              </pic:spPr>
                            </pic:pic>
                          </a:graphicData>
                        </a:graphic>
                      </wp:inline>
                    </w:drawing>
                  </w:r>
                </w:p>
              </w:tc>
            </w:tr>
            <w:tr>
              <w:tblPrEx>
                <w:tblLayout w:type="fixed"/>
                <w:tblCellMar>
                  <w:top w:w="0" w:type="dxa"/>
                  <w:left w:w="108" w:type="dxa"/>
                  <w:bottom w:w="0" w:type="dxa"/>
                  <w:right w:w="108" w:type="dxa"/>
                </w:tblCellMar>
              </w:tblPrEx>
              <w:trPr>
                <w:trHeight w:val="464" w:hRule="atLeast"/>
                <w:jc w:val="center"/>
              </w:trPr>
              <w:tc>
                <w:tcPr>
                  <w:tcW w:w="488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ascii="黑体" w:hAnsi="宋体" w:eastAsia="黑体"/>
                      <w:sz w:val="18"/>
                      <w:szCs w:val="18"/>
                    </w:rPr>
                    <w:t>3</w:t>
                  </w:r>
                  <w:r>
                    <w:rPr>
                      <w:rFonts w:hint="eastAsia" w:ascii="黑体" w:hAnsi="宋体" w:eastAsia="黑体"/>
                      <w:sz w:val="18"/>
                      <w:szCs w:val="18"/>
                    </w:rPr>
                    <w:t>、变电站西侧</w:t>
                  </w:r>
                </w:p>
              </w:tc>
              <w:tc>
                <w:tcPr>
                  <w:tcW w:w="4817"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ascii="黑体" w:hAnsi="宋体" w:eastAsia="黑体"/>
                      <w:sz w:val="18"/>
                      <w:szCs w:val="18"/>
                    </w:rPr>
                    <w:t>4</w:t>
                  </w:r>
                  <w:r>
                    <w:rPr>
                      <w:rFonts w:hint="eastAsia" w:ascii="黑体" w:hAnsi="宋体" w:eastAsia="黑体"/>
                      <w:sz w:val="18"/>
                      <w:szCs w:val="18"/>
                    </w:rPr>
                    <w:t>、变电站北侧</w:t>
                  </w:r>
                </w:p>
              </w:tc>
            </w:tr>
          </w:tbl>
          <w:p>
            <w:pPr>
              <w:adjustRightInd w:val="0"/>
              <w:spacing w:line="360" w:lineRule="auto"/>
              <w:ind w:firstLine="960" w:firstLineChars="400"/>
              <w:jc w:val="center"/>
              <w:rPr>
                <w:rFonts w:ascii="宋体"/>
                <w:sz w:val="24"/>
              </w:rPr>
            </w:pPr>
            <w:r>
              <w:rPr>
                <w:rFonts w:hint="eastAsia" w:ascii="黑体" w:hAnsi="宋体" w:eastAsia="黑体"/>
                <w:snapToGrid w:val="0"/>
                <w:kern w:val="0"/>
                <w:sz w:val="24"/>
              </w:rPr>
              <w:t>图</w:t>
            </w:r>
            <w:r>
              <w:rPr>
                <w:rFonts w:ascii="黑体" w:hAnsi="宋体" w:eastAsia="黑体"/>
                <w:snapToGrid w:val="0"/>
                <w:kern w:val="0"/>
                <w:sz w:val="24"/>
              </w:rPr>
              <w:t>1-</w:t>
            </w:r>
            <w:r>
              <w:rPr>
                <w:rFonts w:hint="eastAsia" w:ascii="黑体" w:hAnsi="宋体" w:eastAsia="黑体"/>
                <w:snapToGrid w:val="0"/>
                <w:kern w:val="0"/>
                <w:sz w:val="24"/>
              </w:rPr>
              <w:t>4</w:t>
            </w:r>
            <w:r>
              <w:rPr>
                <w:rFonts w:ascii="黑体" w:hAnsi="宋体" w:eastAsia="黑体"/>
                <w:snapToGrid w:val="0"/>
                <w:kern w:val="0"/>
                <w:sz w:val="24"/>
              </w:rPr>
              <w:t xml:space="preserve">  </w:t>
            </w:r>
            <w:r>
              <w:rPr>
                <w:rFonts w:hint="eastAsia" w:ascii="黑体" w:hAnsi="宋体" w:eastAsia="黑体"/>
                <w:snapToGrid w:val="0"/>
                <w:kern w:val="0"/>
                <w:sz w:val="24"/>
              </w:rPr>
              <w:t>变电站周围现场照片（拍摄于</w:t>
            </w:r>
            <w:r>
              <w:rPr>
                <w:rFonts w:ascii="黑体" w:hAnsi="宋体" w:eastAsia="黑体"/>
                <w:snapToGrid w:val="0"/>
                <w:kern w:val="0"/>
                <w:sz w:val="24"/>
              </w:rPr>
              <w:t>201</w:t>
            </w:r>
            <w:r>
              <w:rPr>
                <w:rFonts w:hint="eastAsia" w:ascii="黑体" w:hAnsi="宋体" w:eastAsia="黑体"/>
                <w:snapToGrid w:val="0"/>
                <w:kern w:val="0"/>
                <w:sz w:val="24"/>
              </w:rPr>
              <w:t>9年</w:t>
            </w:r>
            <w:r>
              <w:rPr>
                <w:rFonts w:hint="eastAsia" w:ascii="黑体" w:hAnsi="宋体" w:eastAsia="黑体"/>
                <w:snapToGrid w:val="0"/>
                <w:kern w:val="0"/>
                <w:sz w:val="24"/>
                <w:lang w:eastAsia="zh-CN"/>
              </w:rPr>
              <w:t>2月20日</w:t>
            </w:r>
            <w:r>
              <w:rPr>
                <w:rFonts w:hint="eastAsia" w:ascii="黑体" w:hAnsi="宋体" w:eastAsia="黑体"/>
                <w:snapToGrid w:val="0"/>
                <w:kern w:val="0"/>
                <w:sz w:val="24"/>
              </w:rPr>
              <w:t>）</w:t>
            </w:r>
          </w:p>
          <w:bookmarkEnd w:id="1"/>
          <w:p>
            <w:pPr>
              <w:spacing w:line="360" w:lineRule="auto"/>
              <w:ind w:firstLine="480" w:firstLineChars="200"/>
              <w:jc w:val="center"/>
              <w:rPr>
                <w:rFonts w:ascii="黑体" w:hAnsi="黑体" w:eastAsia="黑体"/>
                <w:sz w:val="24"/>
              </w:rPr>
            </w:pPr>
          </w:p>
        </w:tc>
      </w:tr>
    </w:tbl>
    <w:p>
      <w:pPr>
        <w:spacing w:line="360" w:lineRule="auto"/>
        <w:rPr>
          <w:rFonts w:eastAsia="黑体"/>
          <w:bCs/>
        </w:rPr>
        <w:sectPr>
          <w:footerReference r:id="rId4" w:type="first"/>
          <w:footerReference r:id="rId3" w:type="default"/>
          <w:pgSz w:w="11906" w:h="16838"/>
          <w:pgMar w:top="1418" w:right="1247" w:bottom="1418" w:left="1247" w:header="851" w:footer="992" w:gutter="0"/>
          <w:pgNumType w:fmt="numberInDash" w:start="1"/>
          <w:cols w:space="720" w:num="1"/>
          <w:titlePg/>
          <w:docGrid w:type="lines" w:linePitch="312" w:charSpace="0"/>
        </w:sectPr>
      </w:pPr>
    </w:p>
    <w:p>
      <w:pPr>
        <w:spacing w:line="360" w:lineRule="auto"/>
        <w:rPr>
          <w:rFonts w:ascii="黑体" w:eastAsia="黑体"/>
          <w:bCs/>
          <w:sz w:val="28"/>
          <w:szCs w:val="28"/>
        </w:rPr>
      </w:pPr>
      <w:r>
        <w:pict>
          <v:shape id="矩形标注 38" o:spid="_x0000_s2088" o:spt="61" type="#_x0000_t61" style="position:absolute;left:0pt;flip:y;margin-left:474.5pt;margin-top:256.1pt;height:18.1pt;width:65.95pt;z-index:251750400;mso-width-relative:page;mso-height-relative:page;" fillcolor="#FFFFFF" filled="t" stroked="t" coordsize="21600,21600" adj="-18848,28462">
            <v:path/>
            <v:fill on="t" color2="#FFFFFF" focussize="0,0"/>
            <v:stroke weight="1pt" color="#FF0000" joinstyle="miter"/>
            <v:imagedata o:title=""/>
            <o:lock v:ext="edit" aspectratio="f"/>
            <v:textbox inset="0mm,0mm,0mm,0mm">
              <w:txbxContent>
                <w:p>
                  <w:pPr>
                    <w:rPr>
                      <w:rFonts w:hint="eastAsia" w:eastAsia="宋体"/>
                      <w:b/>
                      <w:color w:val="FF0000"/>
                      <w:lang w:val="en-US" w:eastAsia="zh-CN"/>
                    </w:rPr>
                  </w:pPr>
                  <w:r>
                    <w:rPr>
                      <w:rFonts w:hint="eastAsia"/>
                      <w:b/>
                      <w:color w:val="FF0000"/>
                    </w:rPr>
                    <w:t>本项目</w:t>
                  </w:r>
                  <w:r>
                    <w:rPr>
                      <w:rFonts w:hint="eastAsia"/>
                      <w:b/>
                      <w:color w:val="FF0000"/>
                      <w:lang w:val="en-US" w:eastAsia="zh-CN"/>
                    </w:rPr>
                    <w:t>变电站</w:t>
                  </w:r>
                </w:p>
              </w:txbxContent>
            </v:textbox>
          </v:shape>
        </w:pict>
      </w:r>
      <w:r>
        <w:rPr>
          <w:sz w:val="21"/>
        </w:rPr>
        <w:pict>
          <v:rect id="_x0000_s2090" o:spid="_x0000_s2090" o:spt="1" style="position:absolute;left:0pt;margin-left:1.75pt;margin-top:-0.75pt;height:466.25pt;width:696.75pt;z-index:251748352;mso-width-relative:page;mso-height-relative:page;" filled="f" stroked="t" coordsize="21600,21600">
            <v:path/>
            <v:fill on="f" focussize="0,0"/>
            <v:stroke color="#000000"/>
            <v:imagedata o:title=""/>
            <o:lock v:ext="edit" aspectratio="f"/>
          </v:rect>
        </w:pict>
      </w:r>
      <w:r>
        <w:pict>
          <v:shape id="_x0000_s2089" o:spid="_x0000_s2089" o:spt="202" type="#_x0000_t202" style="position:absolute;left:0pt;flip:y;margin-left:402.15pt;margin-top:227.95pt;height:21.6pt;width:11.25pt;z-index:251749376;mso-width-relative:page;mso-height-relative:page;" filled="f" stroked="t" coordsize="21600,21600" o:gfxdata="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4nt+52QAAAAsBAAAPAAAAAAAAAAEAIAAAACIAAABkcnMvZG93bnJldi54bWxQ&#10;SwECFAAUAAAACACHTuJAORLsqPYBAADLAwAADgAAAAAAAAABACAAAAAoAQAAZHJzL2Uyb0RvYy54&#10;bWxQSwUGAAAAAAYABgBZAQAAkAUAAAAA&#10;">
            <v:path/>
            <v:fill on="f" focussize="0,0"/>
            <v:stroke weight="2pt" color="#FF0000" joinstyle="miter"/>
            <v:imagedata o:title=""/>
            <o:lock v:ext="edit" aspectratio="f"/>
            <v:textbox>
              <w:txbxContent>
                <w:p/>
              </w:txbxContent>
            </v:textbox>
          </v:shape>
        </w:pict>
      </w:r>
      <w:r>
        <w:pict>
          <v:group id="组合 16" o:spid="_x0000_s2087" o:spt="203" style="position:absolute;left:0pt;margin-left:662.4pt;margin-top:26.65pt;height:80.4pt;width:28.3pt;z-index:251747328;mso-width-relative:page;mso-height-relative:page;" coordsize="563,1608" o:gfxdata="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">
            <o:lock v:ext="edit" aspectratio="f"/>
            <v:group id="组合 11" o:spid="_x0000_s2085" o:spt="203" style="position:absolute;left:0;top:423;height:1185;width:563;" coordsize="607,1227" o:gfxdata="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ecJYb0AAADbAAAADwAAAAAAAAABACAAAAAiAAAAZHJzL2Rvd25yZXYueG1s&#10;UEsBAhQAFAAAAAgAh07iQDMvBZ47AAAAOQAAABUAAAAAAAAAAQAgAAAADAEAAGRycy9ncm91cHNo&#10;YXBleG1sLnhtbFBLBQYAAAAABgAGAGABAADJAwAAAAA=&#10;">
              <o:lock v:ext="edit" aspectratio="f"/>
              <v:shape id="任意多边形 8" o:spid="_x0000_s2082" style="position:absolute;left:151;top:0;height:1227;width:314;" filled="f" stroked="t" coordsize="314,1227" o:gfxdata="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y8ZJvQAA&#10;ANsAAAAPAAAAAAAAAAEAIAAAACIAAABkcnMvZG93bnJldi54bWxQSwECFAAUAAAACACHTuJAMy8F&#10;njsAAAA5AAAAEAAAAAAAAAABACAAAAAMAQAAZHJzL3NoYXBleG1sLnhtbFBLBQYAAAAABgAGAFsB&#10;AAC2AwAAAAA=&#10;" path="m150,0l0,1220,160,1020,152,3,161,1026,314,1227,150,0xe">
                <v:fill on="f" focussize="0,0"/>
                <v:stroke weight="1.5pt" color="#000000" joinstyle="round"/>
                <v:imagedata o:title=""/>
                <o:lock v:ext="edit" aspectratio="f"/>
              </v:shape>
              <v:shape id="椭圆 9" o:spid="_x0000_s2083" o:spt="3" type="#_x0000_t3" style="position:absolute;left:108;top:417;height:397;width:397;" filled="f" stroked="t" coordsize="21600,21600" o:gfxdata="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KifgbsAAADb&#10;AAAADwAAAAAAAAABACAAAAAiAAAAZHJzL2Rvd25yZXYueG1sUEsBAhQAFAAAAAgAh07iQDMvBZ47&#10;AAAAOQAAABAAAAAAAAAAAQAgAAAACgEAAGRycy9zaGFwZXhtbC54bWxQSwUGAAAAAAYABgBbAQAA&#10;tAMAAAAA&#10;">
                <v:path/>
                <v:fill on="f" focussize="0,0"/>
                <v:stroke color="#000000" joinstyle="round"/>
                <v:imagedata o:title=""/>
                <o:lock v:ext="edit" aspectratio="f"/>
              </v:shape>
              <v:shape id="椭圆 10" o:spid="_x0000_s2084" o:spt="3" type="#_x0000_t3" style="position:absolute;left:0;top:306;height:607;width:607;" filled="f" stroked="t" coordsize="21600,21600" o:gfxdata="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7/vyhugAAANsA&#10;AAAPAAAAAAAAAAEAIAAAACIAAABkcnMvZG93bnJldi54bWxQSwECFAAUAAAACACHTuJAMy8FnjsA&#10;AAA5AAAAEAAAAAAAAAABACAAAAAJAQAAZHJzL3NoYXBleG1sLnhtbFBLBQYAAAAABgAGAFsBAACz&#10;AwAAAAA=&#10;">
                <v:path/>
                <v:fill on="f" focussize="0,0"/>
                <v:stroke color="#000000" joinstyle="round"/>
                <v:imagedata o:title=""/>
                <o:lock v:ext="edit" aspectratio="f"/>
              </v:shape>
            </v:group>
            <v:rect id="矩形 12" o:spid="_x0000_s2086" o:spt="1" style="position:absolute;left:55;top:0;height:452;width:500;" filled="f" stroked="f" coordsize="21600,21600" o:gfxdata="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R/LNr4A&#10;AADbAAAADwAAAAAAAAABACAAAAAiAAAAZHJzL2Rvd25yZXYueG1sUEsBAhQAFAAAAAgAh07iQDMv&#10;BZ47AAAAOQAAABAAAAAAAAAAAQAgAAAADQEAAGRycy9zaGFwZXhtbC54bWxQSwUGAAAAAAYABgBb&#10;AQAAtwMAAAAA&#10;">
              <v:path/>
              <v:fill on="f" focussize="0,0"/>
              <v:stroke on="f"/>
              <v:imagedata o:title=""/>
              <o:lock v:ext="edit" aspectratio="f"/>
              <v:textbox>
                <w:txbxContent>
                  <w:p>
                    <w:pPr>
                      <w:rPr>
                        <w:b/>
                        <w:sz w:val="24"/>
                      </w:rPr>
                    </w:pPr>
                    <w:r>
                      <w:rPr>
                        <w:rFonts w:hint="eastAsia"/>
                        <w:b/>
                        <w:sz w:val="24"/>
                      </w:rPr>
                      <w:t>NN</w:t>
                    </w:r>
                  </w:p>
                </w:txbxContent>
              </v:textbox>
            </v:rect>
          </v:group>
        </w:pict>
      </w:r>
      <w:r>
        <w:drawing>
          <wp:inline distT="0" distB="0" distL="0" distR="0">
            <wp:extent cx="8571230" cy="5269230"/>
            <wp:effectExtent l="0" t="0" r="127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8577666" cy="5273448"/>
                    </a:xfrm>
                    <a:prstGeom prst="rect">
                      <a:avLst/>
                    </a:prstGeom>
                    <a:noFill/>
                    <a:ln>
                      <a:noFill/>
                    </a:ln>
                  </pic:spPr>
                </pic:pic>
              </a:graphicData>
            </a:graphic>
          </wp:inline>
        </w:drawing>
      </w:r>
    </w:p>
    <w:p>
      <w:pPr>
        <w:spacing w:line="360" w:lineRule="auto"/>
        <w:jc w:val="center"/>
        <w:rPr>
          <w:rFonts w:hint="eastAsia" w:ascii="黑体" w:hAnsi="宋体" w:eastAsia="黑体"/>
          <w:snapToGrid w:val="0"/>
          <w:kern w:val="0"/>
          <w:sz w:val="28"/>
          <w:szCs w:val="28"/>
        </w:rPr>
        <w:sectPr>
          <w:pgSz w:w="16838" w:h="11906" w:orient="landscape"/>
          <w:pgMar w:top="1247" w:right="1418" w:bottom="1247" w:left="1418" w:header="851" w:footer="992" w:gutter="0"/>
          <w:pgNumType w:fmt="numberInDash"/>
          <w:cols w:space="720" w:num="1"/>
          <w:titlePg/>
          <w:docGrid w:type="lines" w:linePitch="312" w:charSpace="0"/>
        </w:sectPr>
      </w:pPr>
      <w:r>
        <w:rPr>
          <w:rFonts w:hint="eastAsia" w:ascii="黑体" w:hAnsi="宋体" w:eastAsia="黑体"/>
          <w:snapToGrid w:val="0"/>
          <w:kern w:val="0"/>
          <w:sz w:val="28"/>
          <w:szCs w:val="28"/>
        </w:rPr>
        <w:t>图</w:t>
      </w:r>
      <w:r>
        <w:rPr>
          <w:rFonts w:ascii="黑体" w:hAnsi="宋体" w:eastAsia="黑体"/>
          <w:snapToGrid w:val="0"/>
          <w:kern w:val="0"/>
          <w:sz w:val="28"/>
          <w:szCs w:val="28"/>
        </w:rPr>
        <w:t>1-</w:t>
      </w:r>
      <w:r>
        <w:rPr>
          <w:rFonts w:hint="eastAsia" w:ascii="黑体" w:hAnsi="宋体" w:eastAsia="黑体"/>
          <w:snapToGrid w:val="0"/>
          <w:kern w:val="0"/>
          <w:sz w:val="28"/>
          <w:szCs w:val="28"/>
        </w:rPr>
        <w:t>5</w:t>
      </w:r>
      <w:r>
        <w:rPr>
          <w:rFonts w:ascii="黑体" w:hAnsi="宋体" w:eastAsia="黑体"/>
          <w:snapToGrid w:val="0"/>
          <w:kern w:val="0"/>
          <w:sz w:val="28"/>
          <w:szCs w:val="28"/>
        </w:rPr>
        <w:t xml:space="preserve">  </w:t>
      </w:r>
      <w:r>
        <w:rPr>
          <w:rFonts w:hint="eastAsia" w:ascii="黑体" w:hAnsi="宋体" w:eastAsia="黑体"/>
          <w:snapToGrid w:val="0"/>
          <w:kern w:val="0"/>
          <w:sz w:val="28"/>
          <w:szCs w:val="28"/>
        </w:rPr>
        <w:t>青岛特殊钢铁有限公司平面布置图</w:t>
      </w:r>
    </w:p>
    <w:p>
      <w:pPr>
        <w:pStyle w:val="2"/>
        <w:rPr>
          <w:rFonts w:hint="eastAsia"/>
        </w:rPr>
      </w:pPr>
      <w:r>
        <w:rPr>
          <w:sz w:val="21"/>
        </w:rPr>
        <w:pict>
          <v:rect id="_x0000_s2229" o:spid="_x0000_s2229" o:spt="1" style="position:absolute;left:0pt;margin-left:6.7pt;margin-top:-10.7pt;height:471.45pt;width:677.15pt;z-index:251734016;mso-width-relative:page;mso-height-relative:page;" filled="f" stroked="t" coordsize="21600,21600">
            <v:path/>
            <v:fill on="f" focussize="0,0"/>
            <v:stroke color="#000000"/>
            <v:imagedata o:title=""/>
            <o:lock v:ext="edit" aspectratio="f"/>
          </v:rect>
        </w:pict>
      </w:r>
      <w:r>
        <w:drawing>
          <wp:anchor distT="0" distB="0" distL="114300" distR="114300" simplePos="0" relativeHeight="251734016" behindDoc="1" locked="0" layoutInCell="1" allowOverlap="1">
            <wp:simplePos x="0" y="0"/>
            <wp:positionH relativeFrom="column">
              <wp:posOffset>749300</wp:posOffset>
            </wp:positionH>
            <wp:positionV relativeFrom="paragraph">
              <wp:posOffset>-110490</wp:posOffset>
            </wp:positionV>
            <wp:extent cx="7261225" cy="5525135"/>
            <wp:effectExtent l="0" t="0" r="15875" b="18415"/>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9"/>
                    <a:stretch>
                      <a:fillRect/>
                    </a:stretch>
                  </pic:blipFill>
                  <pic:spPr>
                    <a:xfrm>
                      <a:off x="0" y="0"/>
                      <a:ext cx="7261225" cy="5525135"/>
                    </a:xfrm>
                    <a:prstGeom prst="rect">
                      <a:avLst/>
                    </a:prstGeom>
                    <a:noFill/>
                    <a:ln>
                      <a:noFill/>
                    </a:ln>
                  </pic:spPr>
                </pic:pic>
              </a:graphicData>
            </a:graphic>
          </wp:anchor>
        </w:drawing>
      </w:r>
      <w:r>
        <w:pict>
          <v:group id="_x0000_s2192" o:spid="_x0000_s2192" o:spt="203" style="position:absolute;left:0pt;margin-left:15.25pt;margin-top:7.4pt;height:80.4pt;width:28.3pt;z-index:251922432;mso-width-relative:page;mso-height-relative:page;" coordsize="563,1608" o:gfxdata="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">
            <o:lock v:ext="edit" aspectratio="f"/>
            <v:group id="组合 11" o:spid="_x0000_s2193" o:spt="203" style="position:absolute;left:0;top:423;height:1185;width:563;" coordsize="607,1227" o:gfxdata="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ecJYb0AAADbAAAADwAAAAAAAAABACAAAAAiAAAAZHJzL2Rvd25yZXYueG1s&#10;UEsBAhQAFAAAAAgAh07iQDMvBZ47AAAAOQAAABUAAAAAAAAAAQAgAAAADAEAAGRycy9ncm91cHNo&#10;YXBleG1sLnhtbFBLBQYAAAAABgAGAGABAADJAwAAAAA=&#10;">
              <o:lock v:ext="edit" aspectratio="f"/>
              <v:shape id="任意多边形 8" o:spid="_x0000_s2194" style="position:absolute;left:151;top:0;height:1227;width:314;" filled="f" stroked="t" coordsize="314,1227" o:gfxdata="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y8ZJvQAA&#10;ANsAAAAPAAAAAAAAAAEAIAAAACIAAABkcnMvZG93bnJldi54bWxQSwECFAAUAAAACACHTuJAMy8F&#10;njsAAAA5AAAAEAAAAAAAAAABACAAAAAMAQAAZHJzL3NoYXBleG1sLnhtbFBLBQYAAAAABgAGAFsB&#10;AAC2AwAAAAA=&#10;" path="m150,0l0,1220,160,1020,152,3,161,1026,314,1227,150,0xe">
                <v:fill on="f" focussize="0,0"/>
                <v:stroke weight="1.5pt" color="#000000" joinstyle="round"/>
                <v:imagedata o:title=""/>
                <o:lock v:ext="edit" aspectratio="f"/>
              </v:shape>
              <v:shape id="椭圆 9" o:spid="_x0000_s2195" o:spt="3" type="#_x0000_t3" style="position:absolute;left:108;top:417;height:397;width:397;" filled="f" stroked="t" coordsize="21600,21600" o:gfxdata="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KifgbsAAADb&#10;AAAADwAAAAAAAAABACAAAAAiAAAAZHJzL2Rvd25yZXYueG1sUEsBAhQAFAAAAAgAh07iQDMvBZ47&#10;AAAAOQAAABAAAAAAAAAAAQAgAAAACgEAAGRycy9zaGFwZXhtbC54bWxQSwUGAAAAAAYABgBbAQAA&#10;tAMAAAAA&#10;">
                <v:path/>
                <v:fill on="f" focussize="0,0"/>
                <v:stroke color="#000000" joinstyle="round"/>
                <v:imagedata o:title=""/>
                <o:lock v:ext="edit" aspectratio="f"/>
              </v:shape>
              <v:shape id="椭圆 10" o:spid="_x0000_s2196" o:spt="3" type="#_x0000_t3" style="position:absolute;left:0;top:306;height:607;width:607;" filled="f" stroked="t" coordsize="21600,21600" o:gfxdata="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7/vyhugAAANsA&#10;AAAPAAAAAAAAAAEAIAAAACIAAABkcnMvZG93bnJldi54bWxQSwECFAAUAAAACACHTuJAMy8FnjsA&#10;AAA5AAAAEAAAAAAAAAABACAAAAAJAQAAZHJzL3NoYXBleG1sLnhtbFBLBQYAAAAABgAGAFsBAACz&#10;AwAAAAA=&#10;">
                <v:path/>
                <v:fill on="f" focussize="0,0"/>
                <v:stroke color="#000000" joinstyle="round"/>
                <v:imagedata o:title=""/>
                <o:lock v:ext="edit" aspectratio="f"/>
              </v:shape>
            </v:group>
            <v:rect id="矩形 12" o:spid="_x0000_s2197" o:spt="1" style="position:absolute;left:55;top:0;height:452;width:500;" filled="f" stroked="f" coordsize="21600,21600" o:gfxdata="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R/LNr4A&#10;AADbAAAADwAAAAAAAAABACAAAAAiAAAAZHJzL2Rvd25yZXYueG1sUEsBAhQAFAAAAAgAh07iQDMv&#10;BZ47AAAAOQAAABAAAAAAAAAAAQAgAAAADQEAAGRycy9zaGFwZXhtbC54bWxQSwUGAAAAAAYABgBb&#10;AQAAtwMAAAAA&#10;">
              <v:path/>
              <v:fill on="f" focussize="0,0"/>
              <v:stroke on="f"/>
              <v:imagedata o:title=""/>
              <o:lock v:ext="edit" aspectratio="f"/>
              <v:textbox>
                <w:txbxContent>
                  <w:p>
                    <w:pPr>
                      <w:rPr>
                        <w:b/>
                        <w:sz w:val="24"/>
                      </w:rPr>
                    </w:pPr>
                    <w:r>
                      <w:rPr>
                        <w:rFonts w:hint="eastAsia"/>
                        <w:b/>
                        <w:sz w:val="24"/>
                      </w:rPr>
                      <w:t>NN</w:t>
                    </w:r>
                  </w:p>
                </w:txbxContent>
              </v:textbox>
            </v:rect>
          </v:group>
        </w:pict>
      </w:r>
    </w:p>
    <w:p>
      <w:pPr>
        <w:spacing w:line="720" w:lineRule="auto"/>
        <w:jc w:val="center"/>
        <w:rPr>
          <w:rFonts w:hint="eastAsia" w:ascii="黑体" w:hAnsi="宋体" w:eastAsia="黑体"/>
          <w:snapToGrid w:val="0"/>
          <w:kern w:val="0"/>
          <w:sz w:val="28"/>
          <w:szCs w:val="28"/>
        </w:rPr>
      </w:pPr>
      <w:r>
        <w:rPr>
          <w:sz w:val="28"/>
        </w:rPr>
        <w:pict>
          <v:shape id="_x0000_s2230" o:spid="_x0000_s2230" o:spt="61" type="#_x0000_t61" style="position:absolute;left:0pt;margin-left:391.25pt;margin-top:7.05pt;height:19.5pt;width:88.5pt;z-index:251735040;mso-width-relative:page;mso-height-relative:page;" filled="f" stroked="t" coordsize="21600,21600" adj="988,44197">
            <v:path/>
            <v:fill on="f" focussize="0,0"/>
            <v:stroke color="#7030A0"/>
            <v:imagedata o:title=""/>
            <o:lock v:ext="edit" aspectratio="f"/>
            <v:textbox inset="0mm,0mm,0mm,0mm">
              <w:txbxContent>
                <w:p>
                  <w:pPr>
                    <w:rPr>
                      <w:rFonts w:hint="default" w:eastAsia="宋体"/>
                      <w:b/>
                      <w:bCs/>
                      <w:color w:val="7030A0"/>
                      <w:lang w:val="en-US" w:eastAsia="zh-CN"/>
                    </w:rPr>
                  </w:pPr>
                  <w:r>
                    <w:rPr>
                      <w:rFonts w:hint="eastAsia"/>
                      <w:b/>
                      <w:bCs/>
                      <w:color w:val="7030A0"/>
                      <w:lang w:val="en-US" w:eastAsia="zh-CN"/>
                    </w:rPr>
                    <w:t>接入国网线路位置</w:t>
                  </w:r>
                </w:p>
              </w:txbxContent>
            </v:textbox>
          </v:shape>
        </w:pict>
      </w:r>
    </w:p>
    <w:p>
      <w:pPr>
        <w:spacing w:line="720" w:lineRule="auto"/>
        <w:jc w:val="center"/>
        <w:rPr>
          <w:rFonts w:hint="eastAsia" w:ascii="黑体" w:hAnsi="宋体" w:eastAsia="黑体"/>
          <w:snapToGrid w:val="0"/>
          <w:kern w:val="0"/>
          <w:sz w:val="28"/>
          <w:szCs w:val="28"/>
        </w:rPr>
      </w:pPr>
      <w:r>
        <w:rPr>
          <w:sz w:val="28"/>
        </w:rPr>
        <w:pict>
          <v:shape id="_x0000_s2231" o:spid="_x0000_s2231" o:spt="61" type="#_x0000_t61" style="position:absolute;left:0pt;margin-left:97.25pt;margin-top:24.75pt;height:19.5pt;width:88.5pt;z-index:252000256;mso-width-relative:page;mso-height-relative:page;" filled="f" stroked="t" coordsize="21600,21600" adj="3002,55828">
            <v:path/>
            <v:fill on="f" focussize="0,0"/>
            <v:stroke color="#7030A0" joinstyle="miter"/>
            <v:imagedata o:title=""/>
            <o:lock v:ext="edit" aspectratio="f"/>
            <v:textbox inset="0mm,0mm,0mm,0mm">
              <w:txbxContent>
                <w:p>
                  <w:pPr>
                    <w:rPr>
                      <w:rFonts w:hint="default" w:eastAsia="宋体"/>
                      <w:b/>
                      <w:bCs/>
                      <w:color w:val="7030A0"/>
                      <w:lang w:val="en-US" w:eastAsia="zh-CN"/>
                    </w:rPr>
                  </w:pPr>
                  <w:r>
                    <w:rPr>
                      <w:rFonts w:hint="eastAsia"/>
                      <w:b/>
                      <w:bCs/>
                      <w:color w:val="7030A0"/>
                      <w:lang w:val="en-US" w:eastAsia="zh-CN"/>
                    </w:rPr>
                    <w:t>接入国网线路位置</w:t>
                  </w:r>
                </w:p>
              </w:txbxContent>
            </v:textbox>
          </v:shape>
        </w:pict>
      </w:r>
      <w:r>
        <w:rPr>
          <w:sz w:val="21"/>
        </w:rPr>
        <w:pict>
          <v:group id="_x0000_s2223" o:spid="_x0000_s2223" o:spt="203" style="position:absolute;left:0pt;margin-left:110.65pt;margin-top:0.05pt;height:249.85pt;width:433pt;z-index:251734016;mso-width-relative:page;mso-height-relative:page;" coordorigin="3914,203419" coordsize="8660,4997">
            <o:lock v:ext="edit" aspectratio="f"/>
            <v:rect id="_x0000_s2198" o:spid="_x0000_s2198" o:spt="1" style="position:absolute;left:10949;top:206096;height:195;width:395;" filled="f" stroked="t" coordsize="21600,21600">
              <v:path/>
              <v:fill on="f" focussize="0,0"/>
              <v:stroke weight="2pt" color="#FF0000"/>
              <v:imagedata o:title=""/>
              <o:lock v:ext="edit" aspectratio="f"/>
            </v:rect>
            <v:shape id="_x0000_s2219" o:spid="_x0000_s2219" o:spt="61" type="#_x0000_t61" style="position:absolute;left:11788;top:205890;height:325;width:786;" filled="f" stroked="t" coordsize="21600,21600" adj="-12036,17612">
              <v:path/>
              <v:fill on="f" focussize="0,0"/>
              <v:stroke color="#7030A0"/>
              <v:imagedata o:title=""/>
              <o:lock v:ext="edit" aspectratio="f"/>
              <v:textbox inset="0mm,0mm,0mm,0mm">
                <w:txbxContent>
                  <w:p>
                    <w:pPr>
                      <w:rPr>
                        <w:rFonts w:hint="eastAsia" w:eastAsia="宋体"/>
                        <w:b/>
                        <w:bCs/>
                        <w:color w:val="7030A0"/>
                        <w:lang w:val="en-US" w:eastAsia="zh-CN"/>
                      </w:rPr>
                    </w:pPr>
                    <w:r>
                      <w:rPr>
                        <w:rFonts w:hint="eastAsia"/>
                        <w:b/>
                        <w:bCs/>
                        <w:color w:val="7030A0"/>
                        <w:lang w:val="en-US" w:eastAsia="zh-CN"/>
                      </w:rPr>
                      <w:t>升压站</w:t>
                    </w:r>
                  </w:p>
                </w:txbxContent>
              </v:textbox>
            </v:shape>
            <v:line id="_x0000_s2199" o:spid="_x0000_s2199" o:spt="20" style="position:absolute;left:9413;top:206656;height:202;width:5;" fillcolor="#FFFFFF" filled="t" stroked="t" coordsize="21600,21600">
              <v:path arrowok="t"/>
              <v:fill on="t" color2="#FFFFFF" focussize="0,0"/>
              <v:stroke weight="2.5pt" color="#FFC000"/>
              <v:imagedata o:title=""/>
              <o:lock v:ext="edit" aspectratio="f"/>
            </v:line>
            <v:line id="_x0000_s2200" o:spid="_x0000_s2200" o:spt="20" style="position:absolute;left:9417;top:206607;flip:x;height:79;width:1686;" filled="f" stroked="t" coordsize="21600,21600">
              <v:path arrowok="t"/>
              <v:fill on="f" focussize="0,0"/>
              <v:stroke weight="2.5pt" color="#FFC000"/>
              <v:imagedata o:title=""/>
              <o:lock v:ext="edit" aspectratio="f"/>
            </v:line>
            <v:line id="_x0000_s2201" o:spid="_x0000_s2201" o:spt="20" style="position:absolute;left:11058;top:206300;height:312;width:19;" filled="f" stroked="t" coordsize="21600,21600">
              <v:path arrowok="t"/>
              <v:fill on="f" focussize="0,0"/>
              <v:stroke weight="2.5pt" color="#FFC000"/>
              <v:imagedata o:title=""/>
              <o:lock v:ext="edit" aspectratio="f"/>
            </v:line>
            <v:rect id="_x0000_s2202" o:spid="_x0000_s2202" o:spt="1" style="position:absolute;left:9227;top:206825;height:507;width:430;rotation:-196608f;" filled="f" stroked="t" coordsize="21600,21600">
              <v:path/>
              <v:fill on="f" focussize="0,0"/>
              <v:stroke weight="2pt" color="#FF0000" joinstyle="miter"/>
              <v:imagedata o:title=""/>
              <o:lock v:ext="edit" aspectratio="f"/>
            </v:rect>
            <v:rect id="_x0000_s2203" o:spid="_x0000_s2203" o:spt="1" style="position:absolute;left:4091;top:206415;height:354;width:380;rotation:-327680f;" filled="f" stroked="t" coordsize="21600,21600">
              <v:path/>
              <v:fill on="f" focussize="0,0"/>
              <v:stroke weight="2pt" color="#FF0000" joinstyle="miter"/>
              <v:imagedata o:title=""/>
              <o:lock v:ext="edit" aspectratio="f"/>
            </v:rect>
            <v:line id="_x0000_s2204" o:spid="_x0000_s2204" o:spt="20" style="position:absolute;left:4004;top:206718;flip:y;height:304;width:5368;" filled="f" stroked="t" coordsize="21600,21600">
              <v:path arrowok="t"/>
              <v:fill on="f" focussize="0,0"/>
              <v:stroke weight="2.5pt" color="#00B050"/>
              <v:imagedata o:title=""/>
              <o:lock v:ext="edit" aspectratio="f"/>
            </v:line>
            <v:line id="_x0000_s2205" o:spid="_x0000_s2205" o:spt="20" style="position:absolute;left:9573;top:203419;height:3728;width:164;" filled="f" stroked="t" coordsize="21600,21600">
              <v:path arrowok="t"/>
              <v:fill on="f" focussize="0,0"/>
              <v:stroke weight="2.5pt" color="#FFC000"/>
              <v:imagedata o:title=""/>
              <o:lock v:ext="edit" aspectratio="f"/>
            </v:line>
            <v:line id="_x0000_s2206" o:spid="_x0000_s2206" o:spt="20" style="position:absolute;left:3914;top:205048;height:1693;width:98;" filled="f" stroked="t" coordsize="21600,21600">
              <v:path arrowok="t"/>
              <v:fill on="f" focussize="0,0"/>
              <v:stroke weight="2.5pt" color="#00B050"/>
              <v:imagedata o:title=""/>
              <o:lock v:ext="edit" aspectratio="f"/>
            </v:line>
            <v:line id="_x0000_s2207" o:spid="_x0000_s2207" o:spt="20" style="position:absolute;left:4010;top:206740;height:229;width:14;" filled="f" stroked="t" coordsize="21600,21600">
              <v:path arrowok="t"/>
              <v:fill on="f" focussize="0,0"/>
              <v:stroke weight="2.5pt" color="#00B050"/>
              <v:imagedata o:title=""/>
              <o:lock v:ext="edit" aspectratio="f"/>
            </v:line>
            <v:line id="_x0000_s2208" o:spid="_x0000_s2208" o:spt="20" style="position:absolute;left:3994;top:206578;flip:x;height:385;width:7038;" filled="f" stroked="t" coordsize="21600,21600">
              <v:path arrowok="t"/>
              <v:fill on="f" focussize="0,0"/>
              <v:stroke weight="2.5pt" color="#00B050"/>
              <v:imagedata o:title=""/>
              <o:lock v:ext="edit" aspectratio="f"/>
            </v:line>
            <v:line id="_x0000_s2209" o:spid="_x0000_s2209" o:spt="20" style="position:absolute;left:3999;top:206719;flip:x;height:1;width:99;" filled="f" stroked="t" coordsize="21600,21600">
              <v:path arrowok="t"/>
              <v:fill on="f" focussize="0,0"/>
              <v:stroke weight="2.5pt" color="#00B050"/>
              <v:imagedata o:title=""/>
              <o:lock v:ext="edit" aspectratio="f"/>
            </v:line>
            <v:line id="_x0000_s2210" o:spid="_x0000_s2210" o:spt="20" style="position:absolute;left:9367;top:206691;height:135;width:5;" filled="f" stroked="t" coordsize="21600,21600">
              <v:path arrowok="t"/>
              <v:fill on="f" focussize="0,0"/>
              <v:stroke weight="2.5pt" color="#00B050"/>
              <v:imagedata o:title=""/>
              <o:lock v:ext="edit" aspectratio="f"/>
            </v:line>
            <v:line id="_x0000_s2211" o:spid="_x0000_s2211" o:spt="20" style="position:absolute;left:9676;top:207150;flip:y;height:10;width:88;" filled="f" stroked="t" coordsize="21600,21600">
              <v:path arrowok="t"/>
              <v:fill on="f" focussize="0,0"/>
              <v:stroke weight="2.5pt" color="#FFC000"/>
              <v:imagedata o:title=""/>
              <o:lock v:ext="edit" aspectratio="f"/>
            </v:line>
            <v:line id="_x0000_s2213" o:spid="_x0000_s2213" o:spt="20" style="position:absolute;left:10998;top:206283;height:312;width:19;" filled="f" stroked="t" coordsize="21600,21600">
              <v:path arrowok="t"/>
              <v:fill on="f" focussize="0,0"/>
              <v:stroke weight="2.5pt" color="#00B050"/>
              <v:imagedata o:title=""/>
              <o:lock v:ext="edit" aspectratio="f"/>
            </v:line>
            <v:line id="_x0000_s2214" o:spid="_x0000_s2214" o:spt="20" style="position:absolute;left:9035;top:207183;flip:x;height:24;width:185;" filled="f" stroked="t" coordsize="21600,21600">
              <v:path arrowok="t"/>
              <v:fill on="f" focussize="0,0"/>
              <v:stroke weight="2.5pt" color="#00B0F0"/>
              <v:imagedata o:title=""/>
              <o:lock v:ext="edit" aspectratio="f"/>
            </v:line>
            <v:line id="_x0000_s2215" o:spid="_x0000_s2215" o:spt="20" style="position:absolute;left:9053;top:207198;height:1001;width:41;" filled="f" stroked="t" coordsize="21600,21600">
              <v:path arrowok="t"/>
              <v:fill on="f" focussize="0,0"/>
              <v:stroke weight="2.5pt" color="#00B0F0"/>
              <v:imagedata o:title=""/>
              <o:lock v:ext="edit" aspectratio="f"/>
            </v:line>
            <v:line id="_x0000_s2216" o:spid="_x0000_s2216" o:spt="20" style="position:absolute;left:8985;top:208176;flip:x y;height:9;width:108;" filled="f" stroked="t" coordsize="21600,21600">
              <v:path arrowok="t"/>
              <v:fill on="f" focussize="0,0"/>
              <v:stroke weight="2.5pt" color="#00B0F0"/>
              <v:imagedata o:title=""/>
              <o:lock v:ext="edit" aspectratio="f"/>
            </v:line>
            <v:rect id="_x0000_s2218" o:spid="_x0000_s2218" o:spt="1" style="position:absolute;left:8909;top:208100;height:254;width:120;" filled="f" stroked="t" coordsize="21600,21600">
              <v:path/>
              <v:fill on="f" focussize="0,0"/>
              <v:stroke weight="2pt" color="#FF0000" joinstyle="miter"/>
              <v:imagedata o:title=""/>
              <o:lock v:ext="edit" aspectratio="f"/>
            </v:rect>
            <v:shape id="_x0000_s2220" o:spid="_x0000_s2220" o:spt="61" type="#_x0000_t61" style="position:absolute;left:9491;top:208092;height:325;width:786;" filled="f" stroked="t" coordsize="21600,21600" adj="-12036,17612">
              <v:path/>
              <v:fill on="f" focussize="0,0"/>
              <v:stroke color="#7030A0" joinstyle="miter"/>
              <v:imagedata o:title=""/>
              <o:lock v:ext="edit" aspectratio="f"/>
              <v:textbox inset="0mm,0mm,0mm,0mm">
                <w:txbxContent>
                  <w:p>
                    <w:pPr>
                      <w:rPr>
                        <w:rFonts w:hint="eastAsia" w:eastAsia="宋体"/>
                        <w:b/>
                        <w:bCs/>
                        <w:color w:val="7030A0"/>
                        <w:lang w:val="en-US" w:eastAsia="zh-CN"/>
                      </w:rPr>
                    </w:pPr>
                    <w:r>
                      <w:rPr>
                        <w:rFonts w:hint="eastAsia"/>
                        <w:b/>
                        <w:bCs/>
                        <w:color w:val="7030A0"/>
                        <w:lang w:val="en-US" w:eastAsia="zh-CN"/>
                      </w:rPr>
                      <w:t>鼓风站</w:t>
                    </w:r>
                  </w:p>
                </w:txbxContent>
              </v:textbox>
            </v:shape>
            <v:shape id="_x0000_s2221" o:spid="_x0000_s2221" o:spt="61" type="#_x0000_t61" style="position:absolute;left:10178;top:206980;height:325;width:1123;" filled="f" stroked="t" coordsize="21600,21600" adj="-9616,20935">
              <v:path/>
              <v:fill on="f" focussize="0,0"/>
              <v:stroke color="#7030A0" joinstyle="miter"/>
              <v:imagedata o:title=""/>
              <o:lock v:ext="edit" aspectratio="f"/>
              <v:textbox inset="0mm,0mm,0mm,0mm">
                <w:txbxContent>
                  <w:p>
                    <w:pPr>
                      <w:rPr>
                        <w:rFonts w:hint="eastAsia" w:eastAsia="宋体"/>
                        <w:b/>
                        <w:bCs/>
                        <w:color w:val="7030A0"/>
                        <w:lang w:val="en-US" w:eastAsia="zh-CN"/>
                      </w:rPr>
                    </w:pPr>
                    <w:r>
                      <w:rPr>
                        <w:rFonts w:hint="eastAsia"/>
                        <w:b/>
                        <w:bCs/>
                        <w:color w:val="7030A0"/>
                        <w:lang w:val="en-US" w:eastAsia="zh-CN"/>
                      </w:rPr>
                      <w:t>冶炼铁前站</w:t>
                    </w:r>
                  </w:p>
                </w:txbxContent>
              </v:textbox>
            </v:shape>
            <v:shape id="_x0000_s2222" o:spid="_x0000_s2222" o:spt="61" type="#_x0000_t61" style="position:absolute;left:5018;top:206157;height:325;width:1123;" filled="f" stroked="t" coordsize="21600,21600" adj="-9616,20935">
              <v:path/>
              <v:fill on="f" focussize="0,0"/>
              <v:stroke color="#7030A0" joinstyle="miter"/>
              <v:imagedata o:title=""/>
              <o:lock v:ext="edit" aspectratio="f"/>
              <v:textbox inset="0mm,0mm,0mm,0mm">
                <w:txbxContent>
                  <w:p>
                    <w:pPr>
                      <w:rPr>
                        <w:rFonts w:hint="default" w:eastAsia="宋体"/>
                        <w:b/>
                        <w:bCs/>
                        <w:color w:val="7030A0"/>
                        <w:lang w:val="en-US" w:eastAsia="zh-CN"/>
                      </w:rPr>
                    </w:pPr>
                    <w:r>
                      <w:rPr>
                        <w:rFonts w:hint="eastAsia"/>
                        <w:b/>
                        <w:bCs/>
                        <w:color w:val="7030A0"/>
                        <w:lang w:val="en-US" w:eastAsia="zh-CN"/>
                      </w:rPr>
                      <w:t>制氧轧钢站</w:t>
                    </w:r>
                  </w:p>
                </w:txbxContent>
              </v:textbox>
            </v:shape>
          </v:group>
        </w:pict>
      </w:r>
    </w:p>
    <w:p>
      <w:pPr>
        <w:spacing w:line="720" w:lineRule="auto"/>
        <w:jc w:val="center"/>
        <w:rPr>
          <w:rFonts w:hint="eastAsia" w:ascii="黑体" w:hAnsi="宋体" w:eastAsia="黑体"/>
          <w:snapToGrid w:val="0"/>
          <w:kern w:val="0"/>
          <w:sz w:val="28"/>
          <w:szCs w:val="28"/>
        </w:rPr>
      </w:pPr>
    </w:p>
    <w:p>
      <w:pPr>
        <w:spacing w:line="720" w:lineRule="auto"/>
        <w:jc w:val="center"/>
        <w:rPr>
          <w:rFonts w:hint="eastAsia" w:ascii="黑体" w:hAnsi="宋体" w:eastAsia="黑体"/>
          <w:snapToGrid w:val="0"/>
          <w:kern w:val="0"/>
          <w:sz w:val="28"/>
          <w:szCs w:val="28"/>
        </w:rPr>
      </w:pPr>
    </w:p>
    <w:p>
      <w:pPr>
        <w:spacing w:line="720" w:lineRule="auto"/>
        <w:jc w:val="center"/>
        <w:rPr>
          <w:rFonts w:hint="eastAsia" w:ascii="黑体" w:hAnsi="宋体" w:eastAsia="黑体"/>
          <w:snapToGrid w:val="0"/>
          <w:kern w:val="0"/>
          <w:sz w:val="28"/>
          <w:szCs w:val="28"/>
        </w:rPr>
      </w:pPr>
    </w:p>
    <w:p>
      <w:pPr>
        <w:spacing w:line="720" w:lineRule="auto"/>
        <w:jc w:val="center"/>
        <w:rPr>
          <w:rFonts w:hint="eastAsia" w:ascii="黑体" w:hAnsi="宋体" w:eastAsia="黑体"/>
          <w:snapToGrid w:val="0"/>
          <w:kern w:val="0"/>
          <w:sz w:val="28"/>
          <w:szCs w:val="28"/>
        </w:rPr>
      </w:pPr>
    </w:p>
    <w:p>
      <w:pPr>
        <w:spacing w:line="720" w:lineRule="auto"/>
        <w:jc w:val="center"/>
        <w:rPr>
          <w:rFonts w:hint="eastAsia" w:ascii="黑体" w:hAnsi="宋体" w:eastAsia="黑体"/>
          <w:snapToGrid w:val="0"/>
          <w:kern w:val="0"/>
          <w:sz w:val="28"/>
          <w:szCs w:val="28"/>
        </w:rPr>
      </w:pPr>
      <w:r>
        <w:rPr>
          <w:sz w:val="28"/>
        </w:rPr>
        <w:pict>
          <v:group id="_x0000_s2228" o:spid="_x0000_s2228" o:spt="203" style="position:absolute;left:0pt;margin-left:471.5pt;margin-top:45.85pt;height:75.7pt;width:157.5pt;z-index:251734016;mso-width-relative:page;mso-height-relative:page;" coordorigin="11131,209015" coordsize="3150,1514">
            <o:lock v:ext="edit" aspectratio="f"/>
            <v:rect id="_x0000_s2224" o:spid="_x0000_s2224" o:spt="1" style="position:absolute;left:11131;top:209015;height:1515;width:3150;" fillcolor="#FFFFFF" filled="t" stroked="t" coordsize="21600,21600">
              <v:path/>
              <v:fill on="t" color2="#FFFFFF" focussize="0,0"/>
              <v:stroke color="#000000"/>
              <v:imagedata o:title=""/>
              <o:lock v:ext="edit" aspectratio="f"/>
              <v:textbox inset="0mm,0mm,0mm,0mm">
                <w:txbxContent>
                  <w:p>
                    <w:pPr>
                      <w:rPr>
                        <w:rFonts w:hint="eastAsia"/>
                        <w:lang w:val="en-US" w:eastAsia="zh-CN"/>
                      </w:rPr>
                    </w:pPr>
                    <w:r>
                      <w:rPr>
                        <w:rFonts w:hint="eastAsia"/>
                        <w:lang w:val="en-US" w:eastAsia="zh-CN"/>
                      </w:rPr>
                      <w:t>图例：</w:t>
                    </w:r>
                  </w:p>
                  <w:p>
                    <w:pPr>
                      <w:pStyle w:val="2"/>
                      <w:rPr>
                        <w:rFonts w:hint="eastAsia"/>
                        <w:lang w:val="en-US" w:eastAsia="zh-CN"/>
                      </w:rPr>
                    </w:pPr>
                    <w:r>
                      <w:rPr>
                        <w:rFonts w:hint="eastAsia"/>
                        <w:lang w:val="en-US" w:eastAsia="zh-CN"/>
                      </w:rPr>
                      <w:t xml:space="preserve">          冶炼铁前项目线路</w:t>
                    </w:r>
                  </w:p>
                  <w:p>
                    <w:pPr>
                      <w:pStyle w:val="2"/>
                      <w:rPr>
                        <w:rFonts w:hint="eastAsia"/>
                        <w:lang w:val="en-US" w:eastAsia="zh-CN"/>
                      </w:rPr>
                    </w:pPr>
                    <w:r>
                      <w:rPr>
                        <w:rFonts w:hint="eastAsia"/>
                        <w:lang w:val="en-US" w:eastAsia="zh-CN"/>
                      </w:rPr>
                      <w:t xml:space="preserve">          制氧轧钢项目线路</w:t>
                    </w:r>
                  </w:p>
                  <w:p>
                    <w:pPr>
                      <w:pStyle w:val="2"/>
                      <w:ind w:firstLine="1260" w:firstLineChars="600"/>
                      <w:rPr>
                        <w:rFonts w:hint="eastAsia"/>
                        <w:lang w:val="en-US" w:eastAsia="zh-CN"/>
                      </w:rPr>
                    </w:pPr>
                    <w:r>
                      <w:rPr>
                        <w:rFonts w:hint="eastAsia"/>
                        <w:lang w:val="en-US" w:eastAsia="zh-CN"/>
                      </w:rPr>
                      <w:t>炼铁鼓风项目线路</w:t>
                    </w:r>
                  </w:p>
                  <w:p>
                    <w:pPr>
                      <w:pStyle w:val="2"/>
                      <w:rPr>
                        <w:rFonts w:hint="default"/>
                        <w:lang w:val="en-US" w:eastAsia="zh-CN"/>
                      </w:rPr>
                    </w:pPr>
                  </w:p>
                </w:txbxContent>
              </v:textbox>
            </v:rect>
            <v:line id="_x0000_s2225" o:spid="_x0000_s2225" o:spt="20" style="position:absolute;left:11431;top:209540;flip:y;height:15;width:854;" fillcolor="#FFFFFF" filled="t" stroked="t" coordsize="21600,21600">
              <v:path arrowok="t"/>
              <v:fill on="t" color2="#FFFFFF" focussize="0,0"/>
              <v:stroke weight="2.5pt" color="#FFC000"/>
              <v:imagedata o:title=""/>
              <o:lock v:ext="edit" aspectratio="f"/>
            </v:line>
            <v:line id="_x0000_s2226" o:spid="_x0000_s2226" o:spt="20" style="position:absolute;left:11416;top:209900;flip:y;height:15;width:854;" filled="f" stroked="t" coordsize="21600,21600">
              <v:path arrowok="t"/>
              <v:fill on="f" focussize="0,0"/>
              <v:stroke weight="2.5pt" color="#00B050"/>
              <v:imagedata o:title=""/>
              <o:lock v:ext="edit" aspectratio="f"/>
            </v:line>
            <v:line id="_x0000_s2227" o:spid="_x0000_s2227" o:spt="20" style="position:absolute;left:11416;top:210350;flip:y;height:15;width:854;" filled="f" stroked="t" coordsize="21600,21600">
              <v:path arrowok="t"/>
              <v:fill on="f" focussize="0,0"/>
              <v:stroke weight="2.5pt" color="#00B0F0"/>
              <v:imagedata o:title=""/>
              <o:lock v:ext="edit" aspectratio="f"/>
            </v:line>
          </v:group>
        </w:pict>
      </w:r>
    </w:p>
    <w:p>
      <w:pPr>
        <w:spacing w:line="720" w:lineRule="auto"/>
        <w:jc w:val="center"/>
        <w:rPr>
          <w:rFonts w:hint="eastAsia" w:ascii="黑体" w:hAnsi="宋体" w:eastAsia="黑体"/>
          <w:snapToGrid w:val="0"/>
          <w:kern w:val="0"/>
          <w:sz w:val="28"/>
          <w:szCs w:val="28"/>
        </w:rPr>
      </w:pPr>
    </w:p>
    <w:p>
      <w:pPr>
        <w:spacing w:line="240" w:lineRule="auto"/>
        <w:jc w:val="both"/>
        <w:rPr>
          <w:rFonts w:hint="eastAsia" w:ascii="黑体" w:hAnsi="宋体" w:eastAsia="黑体"/>
          <w:snapToGrid w:val="0"/>
          <w:kern w:val="0"/>
          <w:sz w:val="28"/>
          <w:szCs w:val="28"/>
        </w:rPr>
      </w:pPr>
    </w:p>
    <w:p>
      <w:pPr>
        <w:spacing w:line="240" w:lineRule="auto"/>
        <w:jc w:val="center"/>
        <w:rPr>
          <w:rFonts w:hint="default" w:ascii="黑体" w:hAnsi="宋体" w:eastAsia="黑体"/>
          <w:snapToGrid w:val="0"/>
          <w:color w:val="FF0000"/>
          <w:kern w:val="0"/>
          <w:sz w:val="28"/>
          <w:szCs w:val="28"/>
          <w:lang w:val="en-US" w:eastAsia="zh-CN"/>
        </w:rPr>
      </w:pPr>
      <w:r>
        <w:rPr>
          <w:rFonts w:hint="eastAsia" w:ascii="黑体" w:hAnsi="宋体" w:eastAsia="黑体"/>
          <w:snapToGrid w:val="0"/>
          <w:kern w:val="0"/>
          <w:sz w:val="28"/>
          <w:szCs w:val="28"/>
        </w:rPr>
        <w:t>图</w:t>
      </w:r>
      <w:r>
        <w:rPr>
          <w:rFonts w:ascii="黑体" w:hAnsi="宋体" w:eastAsia="黑体"/>
          <w:snapToGrid w:val="0"/>
          <w:kern w:val="0"/>
          <w:sz w:val="28"/>
          <w:szCs w:val="28"/>
        </w:rPr>
        <w:t>1-</w:t>
      </w:r>
      <w:r>
        <w:rPr>
          <w:rFonts w:hint="eastAsia" w:ascii="黑体" w:hAnsi="宋体" w:eastAsia="黑体"/>
          <w:snapToGrid w:val="0"/>
          <w:kern w:val="0"/>
          <w:sz w:val="28"/>
          <w:szCs w:val="28"/>
          <w:lang w:val="en-US" w:eastAsia="zh-CN"/>
        </w:rPr>
        <w:t>6</w:t>
      </w:r>
      <w:r>
        <w:rPr>
          <w:rFonts w:ascii="黑体" w:hAnsi="宋体" w:eastAsia="黑体"/>
          <w:snapToGrid w:val="0"/>
          <w:kern w:val="0"/>
          <w:sz w:val="28"/>
          <w:szCs w:val="28"/>
        </w:rPr>
        <w:t xml:space="preserve">  </w:t>
      </w:r>
      <w:r>
        <w:rPr>
          <w:rFonts w:hint="eastAsia" w:ascii="黑体" w:hAnsi="宋体" w:eastAsia="黑体"/>
          <w:snapToGrid w:val="0"/>
          <w:color w:val="FF0000"/>
          <w:kern w:val="0"/>
          <w:sz w:val="28"/>
          <w:szCs w:val="28"/>
        </w:rPr>
        <w:t>青岛特殊钢铁有限公司</w:t>
      </w:r>
      <w:r>
        <w:rPr>
          <w:rFonts w:hint="eastAsia" w:ascii="黑体" w:hAnsi="宋体" w:eastAsia="黑体"/>
          <w:snapToGrid w:val="0"/>
          <w:color w:val="FF0000"/>
          <w:kern w:val="0"/>
          <w:sz w:val="28"/>
          <w:szCs w:val="28"/>
          <w:lang w:val="en-US" w:eastAsia="zh-CN"/>
        </w:rPr>
        <w:t>110kV变电站及线路分布图</w:t>
      </w:r>
    </w:p>
    <w:p>
      <w:pPr>
        <w:pStyle w:val="2"/>
        <w:ind w:left="0" w:leftChars="0" w:firstLine="0" w:firstLineChars="0"/>
        <w:rPr>
          <w:rFonts w:hint="eastAsia" w:ascii="黑体" w:hAnsi="宋体" w:eastAsia="黑体"/>
          <w:snapToGrid w:val="0"/>
          <w:kern w:val="0"/>
          <w:sz w:val="28"/>
          <w:szCs w:val="28"/>
        </w:rPr>
        <w:sectPr>
          <w:pgSz w:w="16783" w:h="11850" w:orient="landscape"/>
          <w:pgMar w:top="1247" w:right="1418" w:bottom="1247" w:left="1418" w:header="851" w:footer="992" w:gutter="0"/>
          <w:pgNumType w:fmt="numberInDash"/>
          <w:cols w:space="720" w:num="1"/>
          <w:titlePg/>
          <w:docGrid w:type="lines" w:linePitch="312" w:charSpace="0"/>
        </w:sectPr>
      </w:pPr>
    </w:p>
    <w:p>
      <w:pPr>
        <w:spacing w:line="360" w:lineRule="auto"/>
        <w:jc w:val="center"/>
        <w:rPr>
          <w:rFonts w:hint="eastAsia" w:ascii="黑体" w:hAnsi="宋体" w:eastAsia="黑体"/>
          <w:snapToGrid w:val="0"/>
          <w:kern w:val="0"/>
          <w:sz w:val="28"/>
          <w:szCs w:val="28"/>
        </w:rPr>
      </w:pPr>
      <w:r>
        <w:rPr>
          <w:rFonts w:ascii="黑体" w:eastAsia="黑体"/>
          <w:bCs/>
          <w:sz w:val="28"/>
          <w:szCs w:val="28"/>
        </w:rPr>
        <w:pict>
          <v:group id="_x0000_s2096" o:spid="_x0000_s2096" o:spt="203" style="position:absolute;left:0pt;margin-left:412.8pt;margin-top:8pt;height:80.4pt;width:28.3pt;z-index:251751424;mso-width-relative:page;mso-height-relative:page;" coordsize="563,1608" o:gfxdata="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">
            <o:lock v:ext="edit" aspectratio="f"/>
            <v:group id="组合 5" o:spid="_x0000_s2094" o:spt="203" style="position:absolute;left:0;top:423;height:1185;width:563;" coordsize="607,1227" o:gfxdata="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ecJYb0AAADbAAAADwAAAAAAAAABACAAAAAiAAAAZHJzL2Rvd25yZXYueG1s&#10;UEsBAhQAFAAAAAgAh07iQDMvBZ47AAAAOQAAABUAAAAAAAAAAQAgAAAADAEAAGRycy9ncm91cHNo&#10;YXBleG1sLnhtbFBLBQYAAAAABgAGAGABAADJAwAAAAA=&#10;">
              <o:lock v:ext="edit" aspectratio="f"/>
              <v:shape id="任意多边形 1" o:spid="_x0000_s2091" style="position:absolute;left:151;top:0;height:1227;width:314;" filled="f" stroked="t" coordsize="314,1227" o:gfxdata="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XcIya5AAAA2gAA&#10;AA8AAAAAAAAAAQAgAAAAIgAAAGRycy9kb3ducmV2LnhtbFBLAQIUABQAAAAIAIdO4kAzLwWeOwAA&#10;ADkAAAAQAAAAAAAAAAEAIAAAAAgBAABkcnMvc2hhcGV4bWwueG1sUEsFBgAAAAAGAAYAWwEAALID&#10;AAAAAA==&#10;" path="m150,0l0,1220,160,1020,152,3,161,1026,314,1227,150,0xe">
                <v:fill on="f" focussize="0,0"/>
                <v:stroke weight="1.5pt" color="#000000" joinstyle="round"/>
                <v:imagedata o:title=""/>
                <o:lock v:ext="edit" aspectratio="f"/>
              </v:shape>
              <v:shape id="椭圆 3" o:spid="_x0000_s2092" o:spt="3" type="#_x0000_t3" style="position:absolute;left:108;top:417;height:397;width:397;" filled="f" stroked="t" coordsize="21600,21600" o:gfxdata="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Q6Gr4A&#10;AADbAAAADwAAAAAAAAABACAAAAAiAAAAZHJzL2Rvd25yZXYueG1sUEsBAhQAFAAAAAgAh07iQDMv&#10;BZ47AAAAOQAAABAAAAAAAAAAAQAgAAAADQEAAGRycy9zaGFwZXhtbC54bWxQSwUGAAAAAAYABgBb&#10;AQAAtwMAAAAA&#10;">
                <v:path/>
                <v:fill on="f" focussize="0,0"/>
                <v:stroke color="#000000" joinstyle="round"/>
                <v:imagedata o:title=""/>
                <o:lock v:ext="edit" aspectratio="f"/>
              </v:shape>
              <v:shape id="椭圆 4" o:spid="_x0000_s2093" o:spt="3" type="#_x0000_t3" style="position:absolute;left:0;top:306;height:607;width:607;" filled="f" stroked="t" coordsize="21600,21600" o:gfxdata="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KifgbsAAADb&#10;AAAADwAAAAAAAAABACAAAAAiAAAAZHJzL2Rvd25yZXYueG1sUEsBAhQAFAAAAAgAh07iQDMvBZ47&#10;AAAAOQAAABAAAAAAAAAAAQAgAAAACgEAAGRycy9zaGFwZXhtbC54bWxQSwUGAAAAAAYABgBbAQAA&#10;tAMAAAAA&#10;">
                <v:path/>
                <v:fill on="f" focussize="0,0"/>
                <v:stroke color="#000000" joinstyle="round"/>
                <v:imagedata o:title=""/>
                <o:lock v:ext="edit" aspectratio="f"/>
              </v:shape>
            </v:group>
            <v:rect id="矩形 6" o:spid="_x0000_s2095" o:spt="1" style="position:absolute;left:55;top:0;height:452;width:500;" filled="f" stroked="f" coordsize="21600,21600" o:gfxdata="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PRsTm8AAAA&#10;2gAAAA8AAAAAAAAAAQAgAAAAIgAAAGRycy9kb3ducmV2LnhtbFBLAQIUABQAAAAIAIdO4kAzLwWe&#10;OwAAADkAAAAQAAAAAAAAAAEAIAAAAAsBAABkcnMvc2hhcGV4bWwueG1sUEsFBgAAAAAGAAYAWwEA&#10;ALUDAAAAAA==&#10;">
              <v:path/>
              <v:fill on="f" focussize="0,0"/>
              <v:stroke on="f"/>
              <v:imagedata o:title=""/>
              <o:lock v:ext="edit" aspectratio="f"/>
              <v:textbox>
                <w:txbxContent>
                  <w:p>
                    <w:pPr>
                      <w:rPr>
                        <w:b/>
                        <w:sz w:val="24"/>
                      </w:rPr>
                    </w:pPr>
                    <w:r>
                      <w:rPr>
                        <w:rFonts w:hint="eastAsia"/>
                        <w:b/>
                        <w:sz w:val="24"/>
                      </w:rPr>
                      <w:t>NN</w:t>
                    </w:r>
                  </w:p>
                </w:txbxContent>
              </v:textbox>
            </v:rect>
          </v:group>
        </w:pict>
      </w:r>
      <w:r>
        <w:rPr>
          <w:sz w:val="28"/>
        </w:rPr>
        <w:pict>
          <v:rect id="_x0000_s2162" o:spid="_x0000_s2162" o:spt="1" style="position:absolute;left:0pt;margin-left:-2pt;margin-top:1.65pt;height:695.5pt;width:471pt;z-index:251732992;mso-width-relative:page;mso-height-relative:page;" filled="f" stroked="t" coordsize="21600,21600">
            <v:path/>
            <v:fill on="f" focussize="0,0"/>
            <v:stroke color="#000000"/>
            <v:imagedata o:title=""/>
            <o:lock v:ext="edit" aspectratio="f"/>
          </v:rect>
        </w:pict>
      </w:r>
    </w:p>
    <w:p>
      <w:pPr>
        <w:spacing w:line="360" w:lineRule="auto"/>
        <w:jc w:val="center"/>
        <w:rPr>
          <w:rFonts w:hint="eastAsia" w:ascii="黑体" w:hAnsi="宋体" w:eastAsia="黑体"/>
          <w:snapToGrid w:val="0"/>
          <w:kern w:val="0"/>
          <w:sz w:val="28"/>
          <w:szCs w:val="28"/>
        </w:rPr>
      </w:pPr>
      <w:r>
        <w:rPr>
          <w:sz w:val="28"/>
        </w:rPr>
        <w:pict>
          <v:rect id="_x0000_s2183" o:spid="_x0000_s2183" o:spt="1" style="position:absolute;left:0pt;margin-left:237.2pt;margin-top:30.85pt;height:160.2pt;width:46.6pt;z-index:251734016;mso-width-relative:page;mso-height-relative:page;" filled="f" stroked="t" coordsize="21600,21600">
            <v:path/>
            <v:fill on="f" focussize="0,0"/>
            <v:stroke weight="1.75pt" color="#00B0F0" dashstyle="longDashDot"/>
            <v:imagedata o:title=""/>
            <o:lock v:ext="edit" aspectratio="f"/>
          </v:rect>
        </w:pict>
      </w:r>
      <w:r>
        <w:rPr>
          <w:sz w:val="28"/>
        </w:rPr>
        <w:pict>
          <v:group id="_x0000_s2138" o:spid="_x0000_s2138" o:spt="203" style="position:absolute;left:0pt;margin-left:155.85pt;margin-top:31.2pt;height:250.05pt;width:127.95pt;z-index:-251556864;mso-width-relative:page;mso-height-relative:page;" coordorigin="7364,203590" coordsize="2559,5001">
            <o:lock v:ext="edit" aspectratio="f"/>
            <v:shape id="文本框 14" o:spid="_x0000_s2139" o:spt="202" type="#_x0000_t202" style="position:absolute;left:8990;top:203590;height:1922;width:931;" fillcolor="#FFFFFF" filled="t" stroked="t" coordsize="21600,21600" o:gfxdata="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nh4ja8AAAA&#10;2wAAAA8AAAAAAAAAAQAgAAAAIgAAAGRycy9kb3ducmV2LnhtbFBLAQIUABQAAAAIAIdO4kAzLwWe&#10;OwAAADkAAAAQAAAAAAAAAAEAIAAAAAsBAABkcnMvc2hhcGV4bWwueG1sUEsFBgAAAAAGAAYAWwEA&#10;ALUDAAAAAA==&#10;">
              <v:path/>
              <v:fill on="t" color2="#FFFFFF" focussize="0,0"/>
              <v:stroke color="#000000" joinstyle="miter"/>
              <v:imagedata o:title=""/>
              <o:lock v:ext="edit" aspectratio="f"/>
              <v:textbox>
                <w:txbxContent>
                  <w:p/>
                  <w:p>
                    <w:pPr>
                      <w:jc w:val="center"/>
                      <w:rPr>
                        <w:sz w:val="24"/>
                      </w:rPr>
                    </w:pPr>
                  </w:p>
                </w:txbxContent>
              </v:textbox>
            </v:shape>
            <v:shape id="直接箭头连接符 15" o:spid="_x0000_s2140" o:spt="32" type="#_x0000_t32" style="position:absolute;left:8999;top:204242;flip:y;height:7;width:925;" filled="f" stroked="t" coordsize="21600,21600" o:gfxdata="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Pg+idtwAAANsAAAAP&#10;AAAAAAAAAAEAIAAAACIAAABkcnMvZG93bnJldi54bWxQSwECFAAUAAAACACHTuJAMy8FnjsAAAA5&#10;AAAAEAAAAAAAAAABACAAAAAGAQAAZHJzL3NoYXBleG1sLnhtbFBLBQYAAAAABgAGAFsBAACwAwAA&#10;AAA=&#10;">
              <v:path arrowok="t"/>
              <v:fill on="f" focussize="0,0"/>
              <v:stroke color="#000000" joinstyle="round"/>
              <v:imagedata o:title=""/>
              <o:lock v:ext="edit" aspectratio="f"/>
            </v:shape>
            <v:shape id="_x0000_s2141" o:spid="_x0000_s2141" o:spt="202" type="#_x0000_t202" style="position:absolute;left:8987;top:205516;height:1269;width:933;" fillcolor="#FFFFFF" filled="t" stroked="t" coordsize="21600,21600" o:gfxdata="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Nb/8vQAA&#10;ANsAAAAPAAAAAAAAAAEAIAAAACIAAABkcnMvZG93bnJldi54bWxQSwECFAAUAAAACACHTuJAMy8F&#10;njsAAAA5AAAAEAAAAAAAAAABACAAAAAMAQAAZHJzL3NoYXBleG1sLnhtbFBLBQYAAAAABgAGAFsB&#10;AAC2AwAAAAA=&#10;">
              <v:path/>
              <v:fill on="t" color2="#FFFFFF" focussize="0,0"/>
              <v:stroke color="#000000" joinstyle="miter"/>
              <v:imagedata o:title=""/>
              <o:lock v:ext="edit" aspectratio="f"/>
              <v:textbox inset="0mm,0mm,0mm,0mm">
                <w:txbxContent>
                  <w:p>
                    <w:pPr>
                      <w:jc w:val="center"/>
                      <w:rPr>
                        <w:rFonts w:hint="eastAsia" w:ascii="宋体" w:hAnsi="宋体" w:cs="宋体"/>
                        <w:sz w:val="24"/>
                        <w:szCs w:val="24"/>
                        <w:lang w:val="en-US" w:eastAsia="zh-CN"/>
                      </w:rPr>
                    </w:pPr>
                    <w:r>
                      <w:rPr>
                        <w:rFonts w:hint="eastAsia" w:ascii="宋体" w:hAnsi="宋体" w:cs="宋体"/>
                        <w:sz w:val="24"/>
                        <w:szCs w:val="24"/>
                        <w:lang w:val="en-US" w:eastAsia="zh-CN"/>
                      </w:rPr>
                      <w:t>无功</w:t>
                    </w:r>
                  </w:p>
                  <w:p>
                    <w:pPr>
                      <w:jc w:val="center"/>
                      <w:rPr>
                        <w:rFonts w:hint="eastAsia" w:ascii="宋体" w:hAnsi="宋体" w:cs="宋体"/>
                        <w:sz w:val="24"/>
                        <w:szCs w:val="24"/>
                        <w:lang w:val="en-US" w:eastAsia="zh-CN"/>
                      </w:rPr>
                    </w:pPr>
                    <w:r>
                      <w:rPr>
                        <w:rFonts w:hint="eastAsia" w:ascii="宋体" w:hAnsi="宋体" w:cs="宋体"/>
                        <w:sz w:val="24"/>
                        <w:szCs w:val="24"/>
                        <w:lang w:val="en-US" w:eastAsia="zh-CN"/>
                      </w:rPr>
                      <w:t>补偿</w:t>
                    </w:r>
                  </w:p>
                  <w:p>
                    <w:pPr>
                      <w:jc w:val="center"/>
                      <w:rPr>
                        <w:rFonts w:hint="eastAsia" w:ascii="宋体" w:hAnsi="宋体" w:cs="宋体"/>
                        <w:sz w:val="24"/>
                        <w:szCs w:val="24"/>
                        <w:lang w:val="en-US" w:eastAsia="zh-CN"/>
                      </w:rPr>
                    </w:pPr>
                    <w:r>
                      <w:rPr>
                        <w:rFonts w:hint="eastAsia" w:ascii="宋体" w:hAnsi="宋体" w:cs="宋体"/>
                        <w:sz w:val="24"/>
                        <w:szCs w:val="24"/>
                        <w:lang w:val="en-US" w:eastAsia="zh-CN"/>
                      </w:rPr>
                      <w:t>区</w:t>
                    </w:r>
                  </w:p>
                  <w:p>
                    <w:pPr>
                      <w:ind w:firstLine="240" w:firstLineChars="100"/>
                      <w:jc w:val="center"/>
                      <w:rPr>
                        <w:rFonts w:hint="eastAsia" w:eastAsia="宋体"/>
                        <w:sz w:val="24"/>
                        <w:lang w:val="en-US" w:eastAsia="zh-CN"/>
                      </w:rPr>
                    </w:pPr>
                    <w:r>
                      <w:rPr>
                        <w:rFonts w:hint="eastAsia"/>
                        <w:sz w:val="24"/>
                        <w:lang w:val="en-US" w:eastAsia="zh-CN"/>
                      </w:rPr>
                      <w:t>(2F)</w:t>
                    </w:r>
                  </w:p>
                </w:txbxContent>
              </v:textbox>
            </v:shape>
            <v:shape id="_x0000_s2142" o:spid="_x0000_s2142" o:spt="202" type="#_x0000_t202" style="position:absolute;left:7364;top:203590;height:5000;width:1627;" fillcolor="#FFFFFF" filled="t" stroked="t" coordsize="21600,21600" o:gfxdata="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dkS8AAAA&#10;2wAAAA8AAAAAAAAAAQAgAAAAIgAAAGRycy9kb3ducmV2LnhtbFBLAQIUABQAAAAIAIdO4kAzLwWe&#10;OwAAADkAAAAQAAAAAAAAAAEAIAAAAAsBAABkcnMvc2hhcGV4bWwueG1sUEsFBgAAAAAGAAYAWwEA&#10;ALUDAAAAAA==&#10;">
              <v:path/>
              <v:fill on="t" color2="#FFFFFF" focussize="0,0"/>
              <v:stroke color="#000000" joinstyle="miter"/>
              <v:imagedata o:title=""/>
              <o:lock v:ext="edit" aspectratio="f"/>
              <v:textbox>
                <w:txbxContent>
                  <w:p>
                    <w:pPr>
                      <w:jc w:val="center"/>
                    </w:pPr>
                  </w:p>
                  <w:p>
                    <w:pPr>
                      <w:jc w:val="center"/>
                    </w:pPr>
                  </w:p>
                  <w:p>
                    <w:pPr>
                      <w:jc w:val="center"/>
                    </w:pPr>
                  </w:p>
                  <w:p>
                    <w:pPr>
                      <w:jc w:val="center"/>
                    </w:pPr>
                  </w:p>
                  <w:p>
                    <w:pPr>
                      <w:jc w:val="center"/>
                      <w:rPr>
                        <w:rFonts w:hint="eastAsia"/>
                        <w:sz w:val="24"/>
                        <w:lang w:val="en-US" w:eastAsia="zh-CN"/>
                      </w:rPr>
                    </w:pPr>
                    <w:r>
                      <w:rPr>
                        <w:rFonts w:hint="eastAsia"/>
                        <w:sz w:val="24"/>
                        <w:lang w:val="en-US" w:eastAsia="zh-CN"/>
                      </w:rPr>
                      <w:t>风</w:t>
                    </w:r>
                  </w:p>
                  <w:p>
                    <w:pPr>
                      <w:jc w:val="center"/>
                      <w:rPr>
                        <w:rFonts w:hint="eastAsia"/>
                        <w:sz w:val="24"/>
                        <w:lang w:val="en-US" w:eastAsia="zh-CN"/>
                      </w:rPr>
                    </w:pPr>
                    <w:r>
                      <w:rPr>
                        <w:rFonts w:hint="eastAsia"/>
                        <w:sz w:val="24"/>
                        <w:lang w:val="en-US" w:eastAsia="zh-CN"/>
                      </w:rPr>
                      <w:t>机</w:t>
                    </w:r>
                  </w:p>
                  <w:p>
                    <w:pPr>
                      <w:jc w:val="center"/>
                      <w:rPr>
                        <w:rFonts w:hint="eastAsia"/>
                        <w:sz w:val="24"/>
                        <w:lang w:val="en-US" w:eastAsia="zh-CN"/>
                      </w:rPr>
                    </w:pPr>
                    <w:r>
                      <w:rPr>
                        <w:rFonts w:hint="eastAsia"/>
                        <w:sz w:val="24"/>
                        <w:lang w:val="en-US" w:eastAsia="zh-CN"/>
                      </w:rPr>
                      <w:t>房</w:t>
                    </w:r>
                  </w:p>
                  <w:p>
                    <w:pPr>
                      <w:jc w:val="center"/>
                      <w:rPr>
                        <w:rFonts w:hint="eastAsia"/>
                        <w:sz w:val="24"/>
                        <w:lang w:val="en-US" w:eastAsia="zh-CN"/>
                      </w:rPr>
                    </w:pPr>
                  </w:p>
                </w:txbxContent>
              </v:textbox>
            </v:shape>
            <v:shape id="_x0000_s2143" o:spid="_x0000_s2143" o:spt="202" type="#_x0000_t202" style="position:absolute;left:9032;top:203731;height:362;width:859;" filled="f" stroked="f" coordsize="21600,21600" o:gfxdata="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RmOwW5AAAA2wAA&#10;AA8AAAAAAAAAAQAgAAAAIgAAAGRycy9kb3ducmV2LnhtbFBLAQIUABQAAAAIAIdO4kAzLwWeOwAA&#10;ADkAAAAQAAAAAAAAAAEAIAAAAAgBAABkcnMvc2hhcGV4bWwueG1sUEsFBgAAAAAGAAYAWwEAALID&#10;AAAAAA==&#10;">
              <v:path/>
              <v:fill on="f" focussize="0,0"/>
              <v:stroke on="f"/>
              <v:imagedata o:title=""/>
              <o:lock v:ext="edit" aspectratio="f"/>
              <v:textbox inset="0mm,0mm,0mm,0mm">
                <w:txbxContent>
                  <w:p>
                    <w:pPr>
                      <w:rPr>
                        <w:rFonts w:hint="eastAsia" w:eastAsia="宋体"/>
                        <w:b/>
                        <w:color w:val="auto"/>
                        <w:szCs w:val="21"/>
                        <w:lang w:val="en-US" w:eastAsia="zh-CN"/>
                      </w:rPr>
                    </w:pPr>
                    <w:r>
                      <w:rPr>
                        <w:rFonts w:hint="eastAsia"/>
                        <w:b/>
                        <w:color w:val="auto"/>
                        <w:szCs w:val="21"/>
                        <w:lang w:val="en-US" w:eastAsia="zh-CN"/>
                      </w:rPr>
                      <w:t>1号主变</w:t>
                    </w:r>
                  </w:p>
                </w:txbxContent>
              </v:textbox>
            </v:shape>
            <v:shape id="直接箭头连接符 19" o:spid="_x0000_s2144" o:spt="32" type="#_x0000_t32" style="position:absolute;left:8989;top:204889;flip:y;height:7;width:925;" filled="f" stroked="t" coordsize="21600,21600" o:gfxdata="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FKH8+8AAAA&#10;2wAAAA8AAAAAAAAAAQAgAAAAIgAAAGRycy9kb3ducmV2LnhtbFBLAQIUABQAAAAIAIdO4kAzLwWe&#10;OwAAADkAAAAQAAAAAAAAAAEAIAAAAAsBAABkcnMvc2hhcGV4bWwueG1sUEsFBgAAAAAGAAYAWwEA&#10;ALUDAAAAAA==&#10;">
              <v:path arrowok="t"/>
              <v:fill on="f" focussize="0,0"/>
              <v:stroke color="#000000" joinstyle="round"/>
              <v:imagedata o:title=""/>
              <o:lock v:ext="edit" aspectratio="f"/>
            </v:shape>
            <v:shape id="_x0000_s2145" o:spid="_x0000_s2145" o:spt="202" type="#_x0000_t202" style="position:absolute;left:9028;top:204403;height:362;width:859;" filled="f" stroked="f" coordsize="21600,21600" o:gfxdata="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ADpvQAA&#10;ANsAAAAPAAAAAAAAAAEAIAAAACIAAABkcnMvZG93bnJldi54bWxQSwECFAAUAAAACACHTuJAMy8F&#10;njsAAAA5AAAAEAAAAAAAAAABACAAAAAMAQAAZHJzL3NoYXBleG1sLnhtbFBLBQYAAAAABgAGAFsB&#10;AAC2AwAAAAA=&#10;">
              <v:path/>
              <v:fill on="f" focussize="0,0"/>
              <v:stroke on="f"/>
              <v:imagedata o:title=""/>
              <o:lock v:ext="edit" aspectratio="f"/>
              <v:textbox inset="0mm,0mm,0mm,0mm">
                <w:txbxContent>
                  <w:p>
                    <w:pPr>
                      <w:rPr>
                        <w:rFonts w:hint="eastAsia" w:eastAsia="宋体"/>
                        <w:b/>
                        <w:color w:val="auto"/>
                        <w:szCs w:val="21"/>
                        <w:lang w:val="en-US" w:eastAsia="zh-CN"/>
                      </w:rPr>
                    </w:pPr>
                    <w:r>
                      <w:rPr>
                        <w:rFonts w:hint="eastAsia"/>
                        <w:b/>
                        <w:color w:val="auto"/>
                        <w:szCs w:val="21"/>
                        <w:lang w:val="en-US" w:eastAsia="zh-CN"/>
                      </w:rPr>
                      <w:t>2号主变</w:t>
                    </w:r>
                  </w:p>
                </w:txbxContent>
              </v:textbox>
            </v:shape>
            <v:shape id="_x0000_s2146" o:spid="_x0000_s2146" o:spt="202" type="#_x0000_t202" style="position:absolute;left:9044;top:205054;height:362;width:859;" filled="f" stroked="f" coordsize="21600,21600" o:gfxdata="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109Br4A&#10;AADbAAAADwAAAAAAAAABACAAAAAiAAAAZHJzL2Rvd25yZXYueG1sUEsBAhQAFAAAAAgAh07iQDMv&#10;BZ47AAAAOQAAABAAAAAAAAAAAQAgAAAADQEAAGRycy9zaGFwZXhtbC54bWxQSwUGAAAAAAYABgBb&#10;AQAAtwMAAAAA&#10;">
              <v:path/>
              <v:fill on="f" focussize="0,0"/>
              <v:stroke on="f"/>
              <v:imagedata o:title=""/>
              <o:lock v:ext="edit" aspectratio="f"/>
              <v:textbox inset="0mm,0mm,0mm,0mm">
                <w:txbxContent>
                  <w:p>
                    <w:pPr>
                      <w:rPr>
                        <w:rFonts w:hint="eastAsia" w:eastAsia="宋体"/>
                        <w:b/>
                        <w:color w:val="auto"/>
                        <w:szCs w:val="21"/>
                        <w:lang w:val="en-US" w:eastAsia="zh-CN"/>
                      </w:rPr>
                    </w:pPr>
                    <w:r>
                      <w:rPr>
                        <w:rFonts w:hint="eastAsia"/>
                        <w:b/>
                        <w:color w:val="auto"/>
                        <w:szCs w:val="21"/>
                        <w:lang w:val="en-US" w:eastAsia="zh-CN"/>
                      </w:rPr>
                      <w:t>3号主变</w:t>
                    </w:r>
                  </w:p>
                </w:txbxContent>
              </v:textbox>
            </v:shape>
            <v:shape id="文本框 22" o:spid="_x0000_s2147" o:spt="202" type="#_x0000_t202" style="position:absolute;left:8983;top:206787;height:1804;width:933;" fillcolor="#FFFFFF" filled="t" stroked="t" coordsize="21600,21600" o:gfxdata="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WNrfvQAA&#10;ANsAAAAPAAAAAAAAAAEAIAAAACIAAABkcnMvZG93bnJldi54bWxQSwECFAAUAAAACACHTuJAMy8F&#10;njsAAAA5AAAAEAAAAAAAAAABACAAAAAMAQAAZHJzL3NoYXBleG1sLnhtbFBLBQYAAAAABgAGAFsB&#10;AAC2AwAAAAA=&#10;">
              <v:path/>
              <v:fill on="t" color2="#FFFFFF" focussize="0,0"/>
              <v:stroke color="#000000" joinstyle="miter"/>
              <v:imagedata o:title=""/>
              <o:lock v:ext="edit" aspectratio="f"/>
              <v:textbox inset="0mm,0mm,0mm,0mm">
                <w:txbxContent>
                  <w:p/>
                  <w:p>
                    <w:pPr>
                      <w:ind w:firstLine="240" w:firstLineChars="100"/>
                      <w:rPr>
                        <w:rFonts w:hint="eastAsia" w:ascii="宋体" w:hAnsi="宋体"/>
                        <w:bCs/>
                        <w:sz w:val="24"/>
                        <w:lang w:val="en-US" w:eastAsia="zh-CN"/>
                      </w:rPr>
                    </w:pPr>
                    <w:r>
                      <w:rPr>
                        <w:rFonts w:hint="eastAsia" w:ascii="宋体" w:hAnsi="宋体"/>
                        <w:bCs/>
                        <w:sz w:val="24"/>
                        <w:lang w:val="en-US" w:eastAsia="zh-CN"/>
                      </w:rPr>
                      <w:t>鼓风</w:t>
                    </w:r>
                  </w:p>
                  <w:p>
                    <w:pPr>
                      <w:ind w:firstLine="240" w:firstLineChars="100"/>
                      <w:rPr>
                        <w:rFonts w:hint="eastAsia"/>
                        <w:sz w:val="24"/>
                        <w:lang w:val="en-US" w:eastAsia="zh-CN"/>
                      </w:rPr>
                    </w:pPr>
                    <w:r>
                      <w:rPr>
                        <w:rFonts w:hint="eastAsia" w:ascii="宋体" w:hAnsi="宋体"/>
                        <w:bCs/>
                        <w:sz w:val="24"/>
                        <w:lang w:val="en-US" w:eastAsia="zh-CN"/>
                      </w:rPr>
                      <w:t>区</w:t>
                    </w:r>
                    <w:r>
                      <w:rPr>
                        <w:rFonts w:hint="eastAsia"/>
                        <w:sz w:val="24"/>
                        <w:lang w:val="en-US" w:eastAsia="zh-CN"/>
                      </w:rPr>
                      <w:t>配</w:t>
                    </w:r>
                  </w:p>
                  <w:p>
                    <w:pPr>
                      <w:ind w:firstLine="240" w:firstLineChars="100"/>
                      <w:rPr>
                        <w:sz w:val="24"/>
                      </w:rPr>
                    </w:pPr>
                    <w:r>
                      <w:rPr>
                        <w:rFonts w:hint="eastAsia"/>
                        <w:sz w:val="24"/>
                        <w:lang w:val="en-US" w:eastAsia="zh-CN"/>
                      </w:rPr>
                      <w:t>套区</w:t>
                    </w:r>
                  </w:p>
                </w:txbxContent>
              </v:textbox>
            </v:shape>
          </v:group>
        </w:pict>
      </w:r>
      <w:r>
        <w:rPr>
          <w:sz w:val="28"/>
        </w:rPr>
        <w:pict>
          <v:line id="直接连接符 41" o:spid="_x0000_s2135" o:spt="20" style="position:absolute;left:0pt;margin-left:339.55pt;margin-top:21.6pt;height:272.2pt;width:0.6pt;z-index:251756544;mso-width-relative:page;mso-height-relative:page;" filled="f" stroked="t" coordsize="21600,21600">
            <v:path arrowok="t"/>
            <v:fill on="f" focussize="0,0"/>
            <v:stroke color="#000000" joinstyle="round"/>
            <v:imagedata o:title=""/>
            <o:lock v:ext="edit" aspectratio="f"/>
          </v:line>
        </w:pict>
      </w:r>
      <w:r>
        <w:rPr>
          <w:sz w:val="28"/>
        </w:rPr>
        <w:pict>
          <v:line id="直接连接符 37" o:spid="_x0000_s2134" o:spt="20" style="position:absolute;left:0pt;margin-left:320.95pt;margin-top:20.45pt;height:272.2pt;width:0.6pt;z-index:251755520;mso-width-relative:page;mso-height-relative:page;" filled="f" stroked="t" coordsize="21600,21600">
            <v:path arrowok="t"/>
            <v:fill on="f" focussize="0,0"/>
            <v:stroke color="#000000" joinstyle="round"/>
            <v:imagedata o:title=""/>
            <o:lock v:ext="edit" aspectratio="f"/>
          </v:line>
        </w:pict>
      </w:r>
      <w:r>
        <w:rPr>
          <w:sz w:val="28"/>
        </w:rPr>
        <w:pict>
          <v:shape id="五角星 35" o:spid="_x0000_s2133" style="position:absolute;left:0pt;margin-left:255.2pt;margin-top:19.5pt;height:8.65pt;width:9.45pt;z-index:251754496;mso-width-relative:page;mso-height-relative:page;"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w:pict>
      </w:r>
      <w:r>
        <w:rPr>
          <w:sz w:val="28"/>
        </w:rPr>
        <w:pict>
          <v:shape id="文本框 43" o:spid="_x0000_s2132" o:spt="202" type="#_x0000_t202" style="position:absolute;left:0pt;margin-left:249pt;margin-top:2pt;height:24.65pt;width:27.55pt;z-index:251753472;mso-width-relative:page;mso-height-relative:page;" filled="f" stroked="f" coordsize="21600,21600">
            <v:path/>
            <v:fill on="f" focussize="0,0"/>
            <v:stroke on="f"/>
            <v:imagedata o:title=""/>
            <o:lock v:ext="edit" aspectratio="f"/>
            <v:textbox>
              <w:txbxContent>
                <w:p>
                  <w:pPr>
                    <w:rPr>
                      <w:rFonts w:hint="eastAsia" w:eastAsia="宋体"/>
                      <w:b/>
                      <w:color w:val="FF0000"/>
                      <w:szCs w:val="21"/>
                      <w:lang w:val="en-US" w:eastAsia="zh-CN"/>
                    </w:rPr>
                  </w:pPr>
                  <w:r>
                    <w:rPr>
                      <w:rFonts w:hint="eastAsia"/>
                      <w:b/>
                      <w:color w:val="FF0000"/>
                      <w:szCs w:val="21"/>
                    </w:rPr>
                    <w:t>A</w:t>
                  </w:r>
                  <w:r>
                    <w:rPr>
                      <w:rFonts w:hint="eastAsia"/>
                      <w:b/>
                      <w:color w:val="FF0000"/>
                      <w:szCs w:val="21"/>
                      <w:lang w:val="en-US" w:eastAsia="zh-CN"/>
                    </w:rPr>
                    <w:t>5</w:t>
                  </w:r>
                </w:p>
              </w:txbxContent>
            </v:textbox>
          </v:shape>
        </w:pict>
      </w:r>
    </w:p>
    <w:p>
      <w:pPr>
        <w:spacing w:line="360" w:lineRule="auto"/>
        <w:jc w:val="center"/>
        <w:rPr>
          <w:rFonts w:hint="eastAsia" w:ascii="黑体" w:hAnsi="宋体" w:eastAsia="黑体"/>
          <w:snapToGrid w:val="0"/>
          <w:kern w:val="0"/>
          <w:sz w:val="28"/>
          <w:szCs w:val="28"/>
        </w:rPr>
      </w:pPr>
      <w:r>
        <w:rPr>
          <w:sz w:val="28"/>
        </w:rPr>
        <w:pict>
          <v:shape id="五角星 39" o:spid="_x0000_s2137" style="position:absolute;left:0pt;margin-left:285.35pt;margin-top:12.7pt;height:8.65pt;width:9.45pt;z-index:251758592;mso-width-relative:page;mso-height-relative:page;"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w:pict>
      </w:r>
      <w:r>
        <w:rPr>
          <w:sz w:val="28"/>
        </w:rPr>
        <w:pict>
          <v:shape id="文本框 42" o:spid="_x0000_s2136" o:spt="202" type="#_x0000_t202" style="position:absolute;left:0pt;margin-left:289.8pt;margin-top:5.15pt;height:24.65pt;width:27.55pt;z-index:251757568;mso-width-relative:page;mso-height-relative:page;" filled="f" stroked="f" coordsize="21600,21600">
            <v:path/>
            <v:fill on="f" focussize="0,0"/>
            <v:stroke on="f"/>
            <v:imagedata o:title=""/>
            <o:lock v:ext="edit" aspectratio="f"/>
            <v:textbox>
              <w:txbxContent>
                <w:p>
                  <w:pPr>
                    <w:rPr>
                      <w:rFonts w:hint="eastAsia" w:eastAsia="宋体"/>
                      <w:b/>
                      <w:color w:val="FF0000"/>
                      <w:szCs w:val="21"/>
                      <w:lang w:val="en-US" w:eastAsia="zh-CN"/>
                    </w:rPr>
                  </w:pPr>
                  <w:r>
                    <w:rPr>
                      <w:rFonts w:hint="eastAsia"/>
                      <w:b/>
                      <w:color w:val="FF0000"/>
                      <w:szCs w:val="21"/>
                    </w:rPr>
                    <w:t>A</w:t>
                  </w:r>
                  <w:r>
                    <w:rPr>
                      <w:rFonts w:hint="eastAsia"/>
                      <w:b/>
                      <w:color w:val="FF0000"/>
                      <w:szCs w:val="21"/>
                      <w:lang w:val="en-US" w:eastAsia="zh-CN"/>
                    </w:rPr>
                    <w:t>1</w:t>
                  </w:r>
                </w:p>
              </w:txbxContent>
            </v:textbox>
          </v:shape>
        </w:pict>
      </w:r>
    </w:p>
    <w:p>
      <w:pPr>
        <w:spacing w:line="360" w:lineRule="auto"/>
        <w:jc w:val="center"/>
        <w:rPr>
          <w:rFonts w:hint="eastAsia" w:ascii="黑体" w:hAnsi="宋体" w:eastAsia="黑体"/>
          <w:snapToGrid w:val="0"/>
          <w:kern w:val="0"/>
          <w:sz w:val="28"/>
          <w:szCs w:val="28"/>
        </w:rPr>
      </w:pPr>
      <w:r>
        <w:rPr>
          <w:sz w:val="28"/>
        </w:rPr>
        <w:pict>
          <v:shape id="直接箭头连接符 45" o:spid="_x0000_s2158" o:spt="32" type="#_x0000_t32" style="position:absolute;left:0pt;flip:x y;margin-left:283.95pt;margin-top:0.2pt;height:0.05pt;width:29.7pt;z-index:251763712;mso-width-relative:page;mso-height-relative:page;" filled="f" stroked="t" coordsize="21600,21600">
            <v:path arrowok="t"/>
            <v:fill on="f" focussize="0,0"/>
            <v:stroke color="#FF0000" joinstyle="round" endarrow="block"/>
            <v:imagedata o:title=""/>
            <o:lock v:ext="edit" aspectratio="f"/>
          </v:shape>
        </w:pict>
      </w:r>
      <w:r>
        <w:rPr>
          <w:sz w:val="28"/>
        </w:rPr>
        <w:pict>
          <v:shape id="文本框 44" o:spid="_x0000_s2157" o:spt="202" type="#_x0000_t202" style="position:absolute;left:0pt;margin-left:286.1pt;margin-top:1pt;height:16.95pt;width:49.7pt;z-index:251762688;mso-width-relative:page;mso-height-relative:page;" filled="f" stroked="f" coordsize="21600,21600">
            <v:path/>
            <v:fill on="f" focussize="0,0"/>
            <v:stroke on="f"/>
            <v:imagedata o:title=""/>
            <o:lock v:ext="edit" aspectratio="f"/>
            <v:textbox inset="0mm,0mm,0mm,0mm">
              <w:txbxContent>
                <w:p>
                  <w:pPr>
                    <w:rPr>
                      <w:sz w:val="13"/>
                      <w:szCs w:val="13"/>
                    </w:rPr>
                  </w:pPr>
                  <w:r>
                    <w:rPr>
                      <w:rFonts w:hint="eastAsia"/>
                      <w:sz w:val="13"/>
                      <w:szCs w:val="13"/>
                    </w:rPr>
                    <w:t>110</w:t>
                  </w:r>
                  <w:r>
                    <w:rPr>
                      <w:sz w:val="13"/>
                      <w:szCs w:val="13"/>
                    </w:rPr>
                    <w:t>kV</w:t>
                  </w:r>
                  <w:r>
                    <w:rPr>
                      <w:rFonts w:hint="eastAsia"/>
                      <w:sz w:val="13"/>
                      <w:szCs w:val="13"/>
                    </w:rPr>
                    <w:t>进线</w:t>
                  </w:r>
                </w:p>
              </w:txbxContent>
            </v:textbox>
          </v:shape>
        </w:pict>
      </w:r>
      <w:r>
        <w:rPr>
          <w:sz w:val="28"/>
        </w:rPr>
        <w:pict>
          <v:group id="组合 31" o:spid="_x0000_s2149" o:spt="203" style="position:absolute;left:0pt;margin-left:284.85pt;margin-top:17.25pt;height:9.1pt;width:85.5pt;z-index:251761664;mso-width-relative:page;mso-height-relative:page;" coordorigin="10428,204634" coordsize="1710,182">
            <o:lock v:ext="edit" aspectratio="f"/>
            <v:shape id="直接箭头连接符 24" o:spid="_x0000_s2150" o:spt="32" type="#_x0000_t32" style="position:absolute;left:10428;top:204748;flip:y;height:5;width:1710;" filled="f" stroked="t" coordsize="21600,21600" o:gfxdata="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NEsGvQAA&#10;ANsAAAAPAAAAAAAAAAEAIAAAACIAAABkcnMvZG93bnJldi54bWxQSwECFAAUAAAACACHTuJAMy8F&#10;njsAAAA5AAAAEAAAAAAAAAABACAAAAAMAQAAZHJzL3NoYXBleG1sLnhtbFBLBQYAAAAABgAGAFsB&#10;AAC2AwAAAAA=&#10;">
              <v:path arrowok="t"/>
              <v:fill on="f" focussize="0,0"/>
              <v:stroke color="#000000" joinstyle="round" endarrow="block"/>
              <v:imagedata o:title=""/>
              <o:lock v:ext="edit" aspectratio="f"/>
            </v:shape>
            <v:shape id="五角星 25" o:spid="_x0000_s2151" style="position:absolute;left:10702;top:204638;height:173;width:189;" fillcolor="#339966" filled="t" stroked="t" coordsize="189,173" o:gfxdata="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oVpNvQAA&#10;ANsAAAAPAAAAAAAAAAEAIAAAACIAAABkcnMvZG93bnJldi54bWxQSwECFAAUAAAACACHTuJAMy8F&#10;njsAAAA5AAAAEAAAAAAAAAABACAAAAAMAQAAZHJzL3NoYXBleG1sLnhtbFBLBQYAAAAABgAGAFsB&#10;AAC2AwAAAAA=&#10;" path="m0,66l72,66,94,0,116,66,188,66,130,106,152,172,94,132,36,172,58,106xe">
              <v:path o:connectlocs="94,0;0,66;36,172;152,172;188,66" o:connectangles="247,164,82,82,0"/>
              <v:fill on="t" color2="#FFFFFF" focussize="0,0"/>
              <v:stroke color="#339966" joinstyle="miter"/>
              <v:imagedata o:title=""/>
              <o:lock v:ext="edit" aspectratio="f"/>
            </v:shape>
            <v:shape id="五角星 26" o:spid="_x0000_s2152" style="position:absolute;left:10469;top:204644;height:173;width:189;" fillcolor="#339966" filled="t" stroked="t" coordsize="189,173" o:gfxdata="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E+zj+8AAAA&#10;2wAAAA8AAAAAAAAAAQAgAAAAIgAAAGRycy9kb3ducmV2LnhtbFBLAQIUABQAAAAIAIdO4kAzLwWe&#10;OwAAADkAAAAQAAAAAAAAAAEAIAAAAAsBAABkcnMvc2hhcGV4bWwueG1sUEsFBgAAAAAGAAYAWwEA&#10;ALUDAAAAAA==&#10;" path="m0,66l72,66,94,0,116,66,188,66,130,106,152,172,94,132,36,172,58,106xe">
              <v:path o:connectlocs="94,0;0,66;36,172;152,172;188,66" o:connectangles="247,164,82,82,0"/>
              <v:fill on="t" color2="#FFFFFF" focussize="0,0"/>
              <v:stroke color="#339966" joinstyle="miter"/>
              <v:imagedata o:title=""/>
              <o:lock v:ext="edit" aspectratio="f"/>
            </v:shape>
            <v:shape id="五角星 27" o:spid="_x0000_s2153" style="position:absolute;left:10941;top:204634;height:173;width:189;" fillcolor="#339966" filled="t" stroked="t" coordsize="189,173" o:gfxdata="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5ya6S8AAAA&#10;2wAAAA8AAAAAAAAAAQAgAAAAIgAAAGRycy9kb3ducmV2LnhtbFBLAQIUABQAAAAIAIdO4kAzLwWe&#10;OwAAADkAAAAQAAAAAAAAAAEAIAAAAAsBAABkcnMvc2hhcGV4bWwueG1sUEsFBgAAAAAGAAYAWwEA&#10;ALUDAAAAAA==&#10;" path="m0,66l72,66,94,0,116,66,188,66,130,106,152,172,94,132,36,172,58,106xe">
              <v:path o:connectlocs="94,0;0,66;36,172;152,172;188,66" o:connectangles="247,164,82,82,0"/>
              <v:fill on="t" color2="#FFFFFF" focussize="0,0"/>
              <v:stroke color="#339966" joinstyle="miter"/>
              <v:imagedata o:title=""/>
              <o:lock v:ext="edit" aspectratio="f"/>
            </v:shape>
            <v:shape id="五角星 28" o:spid="_x0000_s2154" style="position:absolute;left:11209;top:204635;height:173;width:189;" fillcolor="#339966" filled="t" stroked="t" coordsize="189,173" o:gfxdata="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kVTkvQAA&#10;ANsAAAAPAAAAAAAAAAEAIAAAACIAAABkcnMvZG93bnJldi54bWxQSwECFAAUAAAACACHTuJAMy8F&#10;njsAAAA5AAAAEAAAAAAAAAABACAAAAAMAQAAZHJzL3NoYXBleG1sLnhtbFBLBQYAAAAABgAGAFsB&#10;AAC2AwAAAAA=&#10;" path="m0,66l72,66,94,0,116,66,188,66,130,106,152,172,94,132,36,172,58,106xe">
              <v:path o:connectlocs="94,0;0,66;36,172;152,172;188,66" o:connectangles="247,164,82,82,0"/>
              <v:fill on="t" color2="#FFFFFF" focussize="0,0"/>
              <v:stroke color="#339966" joinstyle="miter"/>
              <v:imagedata o:title=""/>
              <o:lock v:ext="edit" aspectratio="f"/>
            </v:shape>
            <v:shape id="五角星 29" o:spid="_x0000_s2155" style="position:absolute;left:11463;top:204636;height:173;width:189;" fillcolor="#339966" filled="t" stroked="t" coordsize="189,173" o:gfxdata="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pDypO8AAAA&#10;2wAAAA8AAAAAAAAAAQAgAAAAIgAAAGRycy9kb3ducmV2LnhtbFBLAQIUABQAAAAIAIdO4kAzLwWe&#10;OwAAADkAAAAQAAAAAAAAAAEAIAAAAAsBAABkcnMvc2hhcGV4bWwueG1sUEsFBgAAAAAGAAYAWwEA&#10;ALUDAAAAAA==&#10;" path="m0,66l72,66,94,0,116,66,188,66,130,106,152,172,94,132,36,172,58,106xe">
              <v:path o:connectlocs="94,0;0,66;36,172;152,172;188,66" o:connectangles="247,164,82,82,0"/>
              <v:fill on="t" color2="#FFFFFF" focussize="0,0"/>
              <v:stroke color="#339966" joinstyle="miter"/>
              <v:imagedata o:title=""/>
              <o:lock v:ext="edit" aspectratio="f"/>
            </v:shape>
            <v:shape id="五角星 30" o:spid="_x0000_s2156" style="position:absolute;left:11710;top:204644;height:173;width:189;" fillcolor="#339966" filled="t" stroked="t" coordsize="189,173" o:gfxdata="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qlLnvQAA&#10;ANsAAAAPAAAAAAAAAAEAIAAAACIAAABkcnMvZG93bnJldi54bWxQSwECFAAUAAAACACHTuJAMy8F&#10;njsAAAA5AAAAEAAAAAAAAAABACAAAAAMAQAAZHJzL3NoYXBleG1sLnhtbFBLBQYAAAAABgAGAFsB&#10;AAC2AwAAAAA=&#10;" path="m0,66l72,66,94,0,116,66,188,66,130,106,152,172,94,132,36,172,58,106xe">
              <v:path o:connectlocs="94,0;0,66;36,172;152,172;188,66" o:connectangles="247,164,82,82,0"/>
              <v:fill on="t" color2="#FFFFFF" focussize="0,0"/>
              <v:stroke color="#339966" joinstyle="miter"/>
              <v:imagedata o:title=""/>
              <o:lock v:ext="edit" aspectratio="f"/>
            </v:shape>
          </v:group>
        </w:pict>
      </w:r>
      <w:r>
        <w:rPr>
          <w:sz w:val="28"/>
        </w:rPr>
        <w:pict>
          <v:shape id="文本框 40" o:spid="_x0000_s2148" o:spt="202" type="#_x0000_t202" style="position:absolute;left:0pt;margin-left:286.05pt;margin-top:24.15pt;height:27.5pt;width:82pt;z-index:251760640;mso-width-relative:page;mso-height-relative:page;" filled="f" stroked="f" coordsize="21600,21600">
            <v:path/>
            <v:fill on="f" focussize="0,0"/>
            <v:stroke on="f"/>
            <v:imagedata o:title=""/>
            <o:lock v:ext="edit" aspectratio="f"/>
            <v:textbox>
              <w:txbxContent>
                <w:p>
                  <w:pPr>
                    <w:rPr>
                      <w:rFonts w:hint="eastAsia" w:eastAsia="宋体"/>
                      <w:b/>
                      <w:color w:val="FF0000"/>
                      <w:szCs w:val="21"/>
                      <w:lang w:val="en-US" w:eastAsia="zh-CN"/>
                    </w:rPr>
                  </w:pPr>
                  <w:r>
                    <w:rPr>
                      <w:rFonts w:hint="eastAsia"/>
                      <w:b/>
                      <w:color w:val="FF0000"/>
                      <w:szCs w:val="21"/>
                    </w:rPr>
                    <w:t>A</w:t>
                  </w:r>
                  <w:r>
                    <w:rPr>
                      <w:rFonts w:hint="eastAsia"/>
                      <w:b/>
                      <w:color w:val="FF0000"/>
                      <w:szCs w:val="21"/>
                      <w:lang w:val="en-US" w:eastAsia="zh-CN"/>
                    </w:rPr>
                    <w:t>2</w:t>
                  </w:r>
                  <w:r>
                    <w:rPr>
                      <w:rFonts w:hint="eastAsia"/>
                      <w:b/>
                      <w:color w:val="FF0000"/>
                      <w:szCs w:val="21"/>
                    </w:rPr>
                    <w:t>-1</w:t>
                  </w:r>
                  <w:r>
                    <w:rPr>
                      <w:rFonts w:hint="eastAsia" w:ascii="宋体" w:hAnsi="宋体"/>
                      <w:b/>
                      <w:color w:val="FF0000"/>
                      <w:szCs w:val="21"/>
                    </w:rPr>
                    <w:t>～</w:t>
                  </w:r>
                  <w:r>
                    <w:rPr>
                      <w:rFonts w:hint="eastAsia"/>
                      <w:b/>
                      <w:color w:val="FF0000"/>
                      <w:szCs w:val="21"/>
                    </w:rPr>
                    <w:t>A</w:t>
                  </w:r>
                  <w:r>
                    <w:rPr>
                      <w:rFonts w:hint="eastAsia"/>
                      <w:b/>
                      <w:color w:val="FF0000"/>
                      <w:szCs w:val="21"/>
                      <w:lang w:val="en-US" w:eastAsia="zh-CN"/>
                    </w:rPr>
                    <w:t>2</w:t>
                  </w:r>
                  <w:r>
                    <w:rPr>
                      <w:rFonts w:hint="eastAsia"/>
                      <w:b/>
                      <w:color w:val="FF0000"/>
                      <w:szCs w:val="21"/>
                    </w:rPr>
                    <w:t>-</w:t>
                  </w:r>
                  <w:r>
                    <w:rPr>
                      <w:rFonts w:hint="eastAsia"/>
                      <w:b/>
                      <w:color w:val="FF0000"/>
                      <w:szCs w:val="21"/>
                      <w:lang w:val="en-US" w:eastAsia="zh-CN"/>
                    </w:rPr>
                    <w:t>7</w:t>
                  </w:r>
                </w:p>
              </w:txbxContent>
            </v:textbox>
          </v:shape>
        </w:pict>
      </w:r>
    </w:p>
    <w:p>
      <w:pPr>
        <w:spacing w:line="360" w:lineRule="auto"/>
        <w:jc w:val="center"/>
        <w:rPr>
          <w:rFonts w:hint="eastAsia" w:ascii="黑体" w:hAnsi="宋体" w:eastAsia="黑体"/>
          <w:snapToGrid w:val="0"/>
          <w:kern w:val="0"/>
          <w:sz w:val="28"/>
          <w:szCs w:val="28"/>
        </w:rPr>
      </w:pPr>
      <w:r>
        <w:rPr>
          <w:sz w:val="28"/>
        </w:rPr>
        <w:pict>
          <v:shape id="五角星 48" o:spid="_x0000_s2161" style="position:absolute;left:0pt;margin-left:287.5pt;margin-top:16.15pt;height:8.65pt;width:9.45pt;z-index:251766784;mso-width-relative:page;mso-height-relative:page;"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w:pict>
      </w:r>
      <w:r>
        <w:rPr>
          <w:sz w:val="28"/>
        </w:rPr>
        <w:pict>
          <v:shape id="文本框 47" o:spid="_x0000_s2160" o:spt="202" type="#_x0000_t202" style="position:absolute;left:0pt;margin-left:319.8pt;margin-top:28pt;height:58.25pt;width:23.8pt;z-index:251765760;mso-width-relative:page;mso-height-relative:page;" filled="f" stroked="f" coordsize="21600,21600">
            <v:path/>
            <v:fill on="f" focussize="0,0"/>
            <v:stroke on="f"/>
            <v:imagedata o:title=""/>
            <o:lock v:ext="edit" aspectratio="f"/>
            <v:textbox>
              <w:txbxContent>
                <w:p>
                  <w:pPr>
                    <w:rPr>
                      <w:rFonts w:hint="eastAsia"/>
                      <w:szCs w:val="21"/>
                      <w:lang w:val="en-US" w:eastAsia="zh-CN"/>
                    </w:rPr>
                  </w:pPr>
                  <w:r>
                    <w:rPr>
                      <w:rFonts w:hint="eastAsia"/>
                      <w:szCs w:val="21"/>
                      <w:lang w:val="en-US" w:eastAsia="zh-CN"/>
                    </w:rPr>
                    <w:t>经</w:t>
                  </w:r>
                </w:p>
                <w:p>
                  <w:pPr>
                    <w:rPr>
                      <w:rFonts w:hint="eastAsia"/>
                      <w:szCs w:val="21"/>
                      <w:lang w:val="en-US" w:eastAsia="zh-CN"/>
                    </w:rPr>
                  </w:pPr>
                  <w:r>
                    <w:rPr>
                      <w:rFonts w:hint="eastAsia"/>
                      <w:szCs w:val="21"/>
                      <w:lang w:val="en-US" w:eastAsia="zh-CN"/>
                    </w:rPr>
                    <w:t>四</w:t>
                  </w:r>
                </w:p>
                <w:p>
                  <w:pPr>
                    <w:rPr>
                      <w:rFonts w:hint="eastAsia" w:eastAsia="宋体"/>
                      <w:szCs w:val="21"/>
                      <w:lang w:val="en-US" w:eastAsia="zh-CN"/>
                    </w:rPr>
                  </w:pPr>
                  <w:r>
                    <w:rPr>
                      <w:rFonts w:hint="eastAsia"/>
                      <w:szCs w:val="21"/>
                      <w:lang w:val="en-US" w:eastAsia="zh-CN"/>
                    </w:rPr>
                    <w:t>路</w:t>
                  </w:r>
                </w:p>
              </w:txbxContent>
            </v:textbox>
          </v:shape>
        </w:pict>
      </w:r>
      <w:r>
        <w:rPr>
          <w:sz w:val="28"/>
        </w:rPr>
        <w:pict>
          <v:shape id="文本框 46" o:spid="_x0000_s2159" o:spt="202" type="#_x0000_t202" style="position:absolute;left:0pt;margin-left:293.25pt;margin-top:8.35pt;height:24.65pt;width:27.55pt;z-index:251764736;mso-width-relative:page;mso-height-relative:page;" filled="f" stroked="f" coordsize="21600,21600">
            <v:path/>
            <v:fill on="f" focussize="0,0"/>
            <v:stroke on="f"/>
            <v:imagedata o:title=""/>
            <o:lock v:ext="edit" aspectratio="f"/>
            <v:textbox>
              <w:txbxContent>
                <w:p>
                  <w:pPr>
                    <w:rPr>
                      <w:rFonts w:hint="eastAsia" w:eastAsia="宋体"/>
                      <w:b/>
                      <w:color w:val="FF0000"/>
                      <w:szCs w:val="21"/>
                      <w:lang w:val="en-US" w:eastAsia="zh-CN"/>
                    </w:rPr>
                  </w:pPr>
                  <w:r>
                    <w:rPr>
                      <w:rFonts w:hint="eastAsia"/>
                      <w:b/>
                      <w:color w:val="FF0000"/>
                      <w:szCs w:val="21"/>
                    </w:rPr>
                    <w:t>A</w:t>
                  </w:r>
                  <w:r>
                    <w:rPr>
                      <w:rFonts w:hint="eastAsia"/>
                      <w:b/>
                      <w:color w:val="FF0000"/>
                      <w:szCs w:val="21"/>
                      <w:lang w:val="en-US" w:eastAsia="zh-CN"/>
                    </w:rPr>
                    <w:t>3</w:t>
                  </w:r>
                </w:p>
              </w:txbxContent>
            </v:textbox>
          </v:shape>
        </w:pict>
      </w:r>
    </w:p>
    <w:p>
      <w:pPr>
        <w:spacing w:line="360" w:lineRule="auto"/>
        <w:jc w:val="center"/>
        <w:rPr>
          <w:rFonts w:hint="eastAsia" w:ascii="黑体" w:hAnsi="宋体" w:eastAsia="黑体"/>
          <w:snapToGrid w:val="0"/>
          <w:kern w:val="0"/>
          <w:sz w:val="28"/>
          <w:szCs w:val="28"/>
        </w:rPr>
      </w:pPr>
      <w:r>
        <w:rPr>
          <w:sz w:val="28"/>
        </w:rPr>
        <w:pict>
          <v:shape id="_x0000_s2176" o:spid="_x0000_s2176" o:spt="202" type="#_x0000_t202" style="position:absolute;left:0pt;margin-left:292.25pt;margin-top:19.15pt;height:24.65pt;width:27.55pt;z-index:251769856;mso-width-relative:page;mso-height-relative:page;" filled="f" stroked="f" coordsize="21600,21600">
            <v:path/>
            <v:fill on="f" focussize="0,0"/>
            <v:stroke on="f"/>
            <v:imagedata o:title=""/>
            <o:lock v:ext="edit" aspectratio="f"/>
            <v:textbox>
              <w:txbxContent>
                <w:p>
                  <w:pPr>
                    <w:rPr>
                      <w:rFonts w:hint="eastAsia" w:eastAsia="宋体"/>
                      <w:b/>
                      <w:color w:val="FF0000"/>
                      <w:szCs w:val="21"/>
                      <w:lang w:val="en-US" w:eastAsia="zh-CN"/>
                    </w:rPr>
                  </w:pPr>
                  <w:r>
                    <w:rPr>
                      <w:rFonts w:hint="eastAsia"/>
                      <w:b/>
                      <w:color w:val="FF0000"/>
                      <w:szCs w:val="21"/>
                    </w:rPr>
                    <w:t>A</w:t>
                  </w:r>
                  <w:r>
                    <w:rPr>
                      <w:rFonts w:hint="eastAsia"/>
                      <w:b/>
                      <w:color w:val="FF0000"/>
                      <w:szCs w:val="21"/>
                      <w:lang w:val="en-US" w:eastAsia="zh-CN"/>
                    </w:rPr>
                    <w:t>4</w:t>
                  </w:r>
                </w:p>
              </w:txbxContent>
            </v:textbox>
          </v:shape>
        </w:pict>
      </w:r>
      <w:r>
        <w:rPr>
          <w:sz w:val="28"/>
        </w:rPr>
        <w:pict>
          <v:shape id="_x0000_s2175" o:spid="_x0000_s2175" style="position:absolute;left:0pt;margin-left:287.5pt;margin-top:26.45pt;height:8.65pt;width:9.45pt;z-index:251768832;mso-width-relative:page;mso-height-relative:page;" fillcolor="#339966" filled="t" stroked="t" coordsize="189,173" path="m0,66l72,66,94,0,116,66,188,66,130,106,152,172,94,132,36,172,58,106xe">
            <v:path o:connectlocs="94,0;0,66;36,172;152,172;188,66" o:connectangles="247,164,82,82,0"/>
            <v:fill on="t" color2="#FFFFFF" focussize="0,0"/>
            <v:stroke color="#339966" joinstyle="miter"/>
            <v:imagedata o:title=""/>
            <o:lock v:ext="edit" aspectratio="f"/>
          </v:shape>
        </w:pict>
      </w:r>
    </w:p>
    <w:p>
      <w:pPr>
        <w:spacing w:line="360" w:lineRule="auto"/>
        <w:jc w:val="center"/>
        <w:rPr>
          <w:rFonts w:hint="eastAsia" w:ascii="黑体" w:hAnsi="宋体" w:eastAsia="黑体"/>
          <w:snapToGrid w:val="0"/>
          <w:kern w:val="0"/>
          <w:sz w:val="28"/>
          <w:szCs w:val="28"/>
        </w:rPr>
      </w:pPr>
    </w:p>
    <w:p>
      <w:pPr>
        <w:spacing w:line="360" w:lineRule="auto"/>
        <w:jc w:val="center"/>
        <w:rPr>
          <w:rFonts w:hint="eastAsia" w:ascii="黑体" w:hAnsi="宋体" w:eastAsia="黑体"/>
          <w:snapToGrid w:val="0"/>
          <w:kern w:val="0"/>
          <w:sz w:val="28"/>
          <w:szCs w:val="28"/>
        </w:rPr>
      </w:pPr>
    </w:p>
    <w:p>
      <w:pPr>
        <w:spacing w:line="360" w:lineRule="auto"/>
        <w:jc w:val="center"/>
        <w:rPr>
          <w:rFonts w:hint="eastAsia" w:ascii="黑体" w:hAnsi="宋体" w:eastAsia="黑体"/>
          <w:snapToGrid w:val="0"/>
          <w:kern w:val="0"/>
          <w:sz w:val="28"/>
          <w:szCs w:val="28"/>
        </w:rPr>
      </w:pPr>
    </w:p>
    <w:p>
      <w:pPr>
        <w:spacing w:line="360" w:lineRule="auto"/>
        <w:jc w:val="center"/>
        <w:rPr>
          <w:rFonts w:hint="eastAsia" w:ascii="黑体" w:hAnsi="宋体" w:eastAsia="黑体"/>
          <w:snapToGrid w:val="0"/>
          <w:kern w:val="0"/>
          <w:sz w:val="28"/>
          <w:szCs w:val="28"/>
        </w:rPr>
      </w:pPr>
    </w:p>
    <w:p>
      <w:pPr>
        <w:spacing w:line="360" w:lineRule="auto"/>
        <w:jc w:val="center"/>
        <w:rPr>
          <w:rFonts w:hint="eastAsia" w:ascii="黑体" w:hAnsi="宋体" w:eastAsia="黑体"/>
          <w:snapToGrid w:val="0"/>
          <w:kern w:val="0"/>
          <w:sz w:val="28"/>
          <w:szCs w:val="28"/>
        </w:rPr>
      </w:pPr>
    </w:p>
    <w:p>
      <w:pPr>
        <w:spacing w:line="360" w:lineRule="auto"/>
        <w:jc w:val="center"/>
        <w:rPr>
          <w:rFonts w:hint="eastAsia" w:ascii="黑体" w:hAnsi="宋体" w:eastAsia="黑体"/>
          <w:snapToGrid w:val="0"/>
          <w:kern w:val="0"/>
          <w:sz w:val="28"/>
          <w:szCs w:val="28"/>
        </w:rPr>
      </w:pPr>
      <w:r>
        <w:rPr>
          <w:sz w:val="28"/>
        </w:rPr>
        <w:pict>
          <v:group id="组合 34" o:spid="_x0000_s2130" o:spt="203" style="position:absolute;left:0pt;margin-left:289.75pt;margin-top:2.3pt;height:54.5pt;width:139pt;z-index:251752448;mso-width-relative:page;mso-height-relative:page;" coordorigin="4080,208166" coordsize="2780,1090" o:gfxdata="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">
            <o:lock v:ext="edit" aspectratio="f"/>
            <v:shape id="_x0000_s2128" o:spid="_x0000_s2128" o:spt="202" type="#_x0000_t202" style="position:absolute;left:4080;top:208166;height:1090;width:2780;" fillcolor="#FFFFFF" filled="t" stroked="t" coordsize="21600,21600" o:gfxdata="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PupOvQAA&#10;ANoAAAAPAAAAAAAAAAEAIAAAACIAAABkcnMvZG93bnJldi54bWxQSwECFAAUAAAACACHTuJAMy8F&#10;njsAAAA5AAAAEAAAAAAAAAABACAAAAAMAQAAZHJzL3NoYXBleG1sLnhtbFBLBQYAAAAABgAGAFsB&#10;AAC2AwAAAAA=&#10;">
              <v:path/>
              <v:fill on="t" focussize="0,0"/>
              <v:stroke color="#000000" joinstyle="miter"/>
              <v:imagedata o:title=""/>
              <o:lock v:ext="edit" aspectratio="f"/>
              <v:textbox>
                <w:txbxContent>
                  <w:p>
                    <w:r>
                      <w:rPr>
                        <w:rFonts w:hint="eastAsia"/>
                      </w:rPr>
                      <w:t>图例：</w:t>
                    </w:r>
                  </w:p>
                  <w:p>
                    <w:pPr>
                      <w:ind w:firstLine="420"/>
                    </w:pPr>
                    <w:r>
                      <w:rPr>
                        <w:rFonts w:hint="eastAsia"/>
                      </w:rPr>
                      <w:t>工频电场强度和工频磁感应强度检测点位</w:t>
                    </w:r>
                  </w:p>
                </w:txbxContent>
              </v:textbox>
            </v:shape>
            <v:shape id="五角星 33" o:spid="_x0000_s2129" style="position:absolute;left:4333;top:208592;height:173;width:189;" fillcolor="#339966" filled="t" stroked="t" coordsize="189,173" o:gfxdata="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pDypO8AAAA&#10;2wAAAA8AAAAAAAAAAQAgAAAAIgAAAGRycy9kb3ducmV2LnhtbFBLAQIUABQAAAAIAIdO4kAzLwWe&#10;OwAAADkAAAAQAAAAAAAAAAEAIAAAAAsBAABkcnMvc2hhcGV4bWwueG1sUEsFBgAAAAAGAAYAWwEA&#10;ALUDAAAAAA==&#10;" path="m0,66l72,66,94,0,116,66,188,66,130,106,152,172,94,132,36,172,58,106xe">
              <v:path o:connectlocs="94,0;0,66;36,172;152,172;188,66" o:connectangles="247,164,82,82,0"/>
              <v:fill on="t" focussize="0,0"/>
              <v:stroke color="#339966" joinstyle="miter"/>
              <v:imagedata o:title=""/>
              <o:lock v:ext="edit" aspectratio="f"/>
            </v:shape>
          </v:group>
        </w:pict>
      </w:r>
    </w:p>
    <w:p>
      <w:pPr>
        <w:spacing w:line="360" w:lineRule="auto"/>
        <w:jc w:val="center"/>
        <w:rPr>
          <w:rFonts w:hint="eastAsia" w:ascii="黑体" w:hAnsi="宋体" w:eastAsia="黑体"/>
          <w:snapToGrid w:val="0"/>
          <w:kern w:val="0"/>
          <w:sz w:val="28"/>
          <w:szCs w:val="28"/>
        </w:rPr>
      </w:pPr>
    </w:p>
    <w:p>
      <w:pPr>
        <w:spacing w:line="360" w:lineRule="auto"/>
        <w:jc w:val="center"/>
        <w:rPr>
          <w:rFonts w:hint="eastAsia" w:ascii="黑体" w:hAnsi="宋体" w:eastAsia="黑体"/>
          <w:snapToGrid w:val="0"/>
          <w:kern w:val="0"/>
          <w:sz w:val="28"/>
          <w:szCs w:val="28"/>
        </w:rPr>
      </w:pPr>
    </w:p>
    <w:p>
      <w:pPr>
        <w:spacing w:line="360" w:lineRule="auto"/>
        <w:jc w:val="center"/>
        <w:rPr>
          <w:rFonts w:ascii="黑体" w:eastAsia="黑体"/>
          <w:bCs/>
          <w:sz w:val="28"/>
          <w:szCs w:val="28"/>
        </w:rPr>
      </w:pPr>
      <w:r>
        <w:rPr>
          <w:rFonts w:hint="eastAsia" w:ascii="黑体" w:hAnsi="宋体" w:eastAsia="黑体"/>
          <w:snapToGrid w:val="0"/>
          <w:kern w:val="0"/>
          <w:sz w:val="28"/>
          <w:szCs w:val="28"/>
        </w:rPr>
        <w:t>图</w:t>
      </w:r>
      <w:r>
        <w:rPr>
          <w:rFonts w:ascii="黑体" w:hAnsi="宋体" w:eastAsia="黑体"/>
          <w:snapToGrid w:val="0"/>
          <w:kern w:val="0"/>
          <w:sz w:val="28"/>
          <w:szCs w:val="28"/>
        </w:rPr>
        <w:t>1-</w:t>
      </w:r>
      <w:r>
        <w:rPr>
          <w:rFonts w:hint="eastAsia" w:ascii="黑体" w:hAnsi="宋体" w:eastAsia="黑体"/>
          <w:snapToGrid w:val="0"/>
          <w:kern w:val="0"/>
          <w:sz w:val="28"/>
          <w:szCs w:val="28"/>
          <w:lang w:val="en-US" w:eastAsia="zh-CN"/>
        </w:rPr>
        <w:t>7</w:t>
      </w:r>
      <w:r>
        <w:rPr>
          <w:rFonts w:ascii="黑体" w:hAnsi="宋体" w:eastAsia="黑体"/>
          <w:snapToGrid w:val="0"/>
          <w:kern w:val="0"/>
          <w:sz w:val="28"/>
          <w:szCs w:val="28"/>
        </w:rPr>
        <w:t xml:space="preserve"> </w:t>
      </w:r>
      <w:bookmarkStart w:id="2" w:name="_Hlk2345475"/>
      <w:r>
        <w:rPr>
          <w:rFonts w:ascii="黑体" w:hAnsi="宋体" w:eastAsia="黑体"/>
          <w:snapToGrid w:val="0"/>
          <w:kern w:val="0"/>
          <w:sz w:val="28"/>
          <w:szCs w:val="28"/>
        </w:rPr>
        <w:t xml:space="preserve"> </w:t>
      </w:r>
      <w:bookmarkEnd w:id="2"/>
      <w:r>
        <w:rPr>
          <w:rFonts w:hint="eastAsia" w:ascii="黑体" w:hAnsi="宋体" w:eastAsia="黑体" w:cs="Times New Roman"/>
          <w:snapToGrid w:val="0"/>
          <w:kern w:val="0"/>
          <w:sz w:val="28"/>
          <w:szCs w:val="28"/>
          <w:lang w:val="en-US" w:eastAsia="zh-CN"/>
        </w:rPr>
        <w:t>炼铁鼓风110kV变电站平面布</w:t>
      </w:r>
      <w:r>
        <w:rPr>
          <w:rFonts w:hint="eastAsia" w:ascii="黑体" w:hAnsi="宋体" w:eastAsia="黑体"/>
          <w:snapToGrid w:val="0"/>
          <w:kern w:val="0"/>
          <w:sz w:val="28"/>
          <w:szCs w:val="28"/>
        </w:rPr>
        <w:t>置</w:t>
      </w:r>
      <w:r>
        <w:rPr>
          <w:rFonts w:hint="eastAsia" w:ascii="黑体" w:hAnsi="宋体" w:eastAsia="黑体"/>
          <w:snapToGrid w:val="0"/>
          <w:kern w:val="0"/>
          <w:sz w:val="28"/>
          <w:szCs w:val="28"/>
          <w:lang w:val="en-US" w:eastAsia="zh-CN"/>
        </w:rPr>
        <w:t>及检测布点示意</w:t>
      </w:r>
      <w:r>
        <w:rPr>
          <w:rFonts w:hint="eastAsia" w:ascii="黑体" w:hAnsi="宋体" w:eastAsia="黑体"/>
          <w:snapToGrid w:val="0"/>
          <w:kern w:val="0"/>
          <w:sz w:val="28"/>
          <w:szCs w:val="28"/>
        </w:rPr>
        <w:t>图</w:t>
      </w:r>
    </w:p>
    <w:p>
      <w:pPr>
        <w:spacing w:line="360" w:lineRule="auto"/>
        <w:jc w:val="both"/>
        <w:rPr>
          <w:rFonts w:hint="eastAsia" w:ascii="黑体" w:hAnsi="宋体" w:eastAsia="黑体"/>
          <w:snapToGrid w:val="0"/>
          <w:kern w:val="0"/>
          <w:sz w:val="28"/>
          <w:szCs w:val="28"/>
        </w:rPr>
        <w:sectPr>
          <w:pgSz w:w="11906" w:h="16838"/>
          <w:pgMar w:top="1418" w:right="1247" w:bottom="1418" w:left="1247" w:header="851" w:footer="992" w:gutter="0"/>
          <w:pgNumType w:fmt="numberInDash"/>
          <w:cols w:space="720" w:num="1"/>
          <w:titlePg/>
          <w:docGrid w:type="lines" w:linePitch="312" w:charSpace="0"/>
        </w:sectPr>
      </w:pPr>
    </w:p>
    <w:p>
      <w:pPr>
        <w:spacing w:line="360" w:lineRule="auto"/>
        <w:jc w:val="center"/>
        <w:rPr>
          <w:sz w:val="28"/>
        </w:rPr>
      </w:pPr>
      <w:r>
        <w:rPr>
          <w:rFonts w:ascii="黑体" w:hAnsi="宋体" w:eastAsia="黑体"/>
          <w:sz w:val="18"/>
          <w:szCs w:val="18"/>
        </w:rPr>
        <w:pict>
          <v:group id="_x0000_s2184" o:spid="_x0000_s2184" o:spt="203" style="position:absolute;left:0pt;margin-left:426.25pt;margin-top:7.95pt;height:80.4pt;width:28.3pt;z-index:251751424;mso-width-relative:page;mso-height-relative:page;" coordsize="563,1608">
            <o:lock v:ext="edit"/>
            <v:group id="Group 256" o:spid="_x0000_s2185" o:spt="203" style="position:absolute;left:0;top:423;height:1185;width:563;" coordsize="607,1227">
              <o:lock v:ext="edit"/>
              <v:shape id="FreeForm 257" o:spid="_x0000_s2186" style="position:absolute;left:151;top:0;height:1227;width:314;" filled="f" coordsize="314,1227" path="m150,0l0,1220,160,1020,152,3,161,1026,314,1227,150,0xe">
                <v:path arrowok="t"/>
                <v:fill on="f" focussize="0,0"/>
                <v:stroke weight="1.5pt"/>
                <v:imagedata o:title=""/>
                <o:lock v:ext="edit"/>
              </v:shape>
              <v:shape id="Oval 258" o:spid="_x0000_s2187" o:spt="3" type="#_x0000_t3" style="position:absolute;left:108;top:417;height:397;width:397;" filled="f" coordsize="21600,21600">
                <v:path/>
                <v:fill on="f" focussize="0,0"/>
                <v:stroke/>
                <v:imagedata o:title=""/>
                <o:lock v:ext="edit"/>
              </v:shape>
              <v:shape id="Oval 259" o:spid="_x0000_s2188" o:spt="3" type="#_x0000_t3" style="position:absolute;left:0;top:306;height:607;width:607;" filled="f" coordsize="21600,21600">
                <v:path/>
                <v:fill on="f" focussize="0,0"/>
                <v:stroke/>
                <v:imagedata o:title=""/>
                <o:lock v:ext="edit"/>
              </v:shape>
            </v:group>
            <v:rect id="Rectangle 260" o:spid="_x0000_s2189" o:spt="1" style="position:absolute;left:55;top:0;height:452;width:500;" filled="f" stroked="f" coordsize="21600,21600">
              <v:path/>
              <v:fill on="f" focussize="0,0"/>
              <v:stroke on="f"/>
              <v:imagedata o:title=""/>
              <o:lock v:ext="edit"/>
              <v:textbox>
                <w:txbxContent>
                  <w:p>
                    <w:pPr>
                      <w:rPr>
                        <w:b/>
                        <w:sz w:val="24"/>
                      </w:rPr>
                    </w:pPr>
                    <w:r>
                      <w:rPr>
                        <w:rFonts w:hint="eastAsia"/>
                        <w:b/>
                        <w:sz w:val="24"/>
                      </w:rPr>
                      <w:t>N</w:t>
                    </w:r>
                  </w:p>
                </w:txbxContent>
              </v:textbox>
            </v:rect>
          </v:group>
        </w:pict>
      </w:r>
      <w:r>
        <w:rPr>
          <w:sz w:val="21"/>
        </w:rPr>
        <w:pict>
          <v:shape id="_x0000_s2173" o:spid="_x0000_s2173" o:spt="61" type="#_x0000_t61" style="position:absolute;left:0pt;margin-left:205.6pt;margin-top:466.1pt;height:15.5pt;width:57pt;z-index:251739136;mso-width-relative:page;mso-height-relative:page;" fillcolor="#FFFFFF" filled="t" stroked="t" coordsize="21600,21600" adj="-8639,-14213">
            <v:path/>
            <v:fill on="t" color2="#FFFFFF" focussize="0,0"/>
            <v:stroke color="#FF0000" joinstyle="miter"/>
            <v:imagedata o:title=""/>
            <o:lock v:ext="edit" aspectratio="f"/>
            <v:textbox inset="0mm,0mm,0mm,0mm">
              <w:txbxContent>
                <w:p>
                  <w:pPr>
                    <w:rPr>
                      <w:rFonts w:hint="eastAsia" w:eastAsia="宋体"/>
                      <w:lang w:val="en-US" w:eastAsia="zh-CN"/>
                    </w:rPr>
                  </w:pPr>
                  <w:r>
                    <w:rPr>
                      <w:rFonts w:hint="eastAsia"/>
                      <w:lang w:val="en-US" w:eastAsia="zh-CN"/>
                    </w:rPr>
                    <w:t>鼓风变电站</w:t>
                  </w:r>
                </w:p>
              </w:txbxContent>
            </v:textbox>
          </v:shape>
        </w:pict>
      </w:r>
      <w:r>
        <w:rPr>
          <w:sz w:val="21"/>
        </w:rPr>
        <w:pict>
          <v:rect id="_x0000_s2172" o:spid="_x0000_s2172" o:spt="1" style="position:absolute;left:0pt;margin-left:160.45pt;margin-top:405.95pt;height:65.55pt;width:18pt;rotation:-262144f;z-index:251738112;mso-width-relative:page;mso-height-relative:page;" filled="f" stroked="t" coordsize="21600,21600">
            <v:path/>
            <v:fill on="f" focussize="0,0"/>
            <v:stroke weight="3pt" color="#FFFF00" joinstyle="miter"/>
            <v:imagedata o:title=""/>
            <o:lock v:ext="edit" aspectratio="f"/>
            <v:textbox>
              <w:txbxContent>
                <w:p>
                  <w:pPr>
                    <w:rPr>
                      <w:b/>
                      <w:bCs/>
                      <w:color w:val="00B0F0"/>
                      <w:sz w:val="32"/>
                      <w:szCs w:val="32"/>
                      <w:highlight w:val="red"/>
                    </w:rPr>
                  </w:pPr>
                </w:p>
              </w:txbxContent>
            </v:textbox>
          </v:rect>
        </w:pict>
      </w:r>
      <w:r>
        <w:rPr>
          <w:sz w:val="21"/>
        </w:rPr>
        <w:pict>
          <v:line id="_x0000_s2171" o:spid="_x0000_s2171" o:spt="20" style="position:absolute;left:0pt;flip:x;margin-left:177.5pt;margin-top:422.85pt;height:2.3pt;width:22.5pt;z-index:251737088;mso-width-relative:page;mso-height-relative:page;" filled="f" stroked="t" coordsize="21600,21600">
            <v:path arrowok="t"/>
            <v:fill on="f" focussize="0,0"/>
            <v:stroke weight="3pt" color="#00B050"/>
            <v:imagedata o:title=""/>
            <o:lock v:ext="edit" aspectratio="f"/>
          </v:line>
        </w:pict>
      </w:r>
      <w:r>
        <w:rPr>
          <w:sz w:val="21"/>
        </w:rPr>
        <w:pict>
          <v:line id="_x0000_s2170" o:spid="_x0000_s2170" o:spt="20" style="position:absolute;left:0pt;flip:x y;margin-left:190pt;margin-top:174.15pt;height:250.5pt;width:9.7pt;z-index:251736064;mso-width-relative:page;mso-height-relative:page;" filled="f" stroked="t" coordsize="21600,21600">
            <v:path arrowok="t"/>
            <v:fill on="f" focussize="0,0"/>
            <v:stroke weight="3pt" color="#00B050"/>
            <v:imagedata o:title=""/>
            <o:lock v:ext="edit" aspectratio="f"/>
          </v:line>
        </w:pict>
      </w:r>
      <w:r>
        <w:rPr>
          <w:sz w:val="21"/>
        </w:rPr>
        <w:pict>
          <v:line id="_x0000_s2168" o:spid="_x0000_s2168" o:spt="20" style="position:absolute;left:0pt;flip:y;margin-left:190pt;margin-top:170.4pt;height:3pt;width:63.75pt;z-index:251735040;mso-width-relative:page;mso-height-relative:page;" filled="f" stroked="t" coordsize="21600,21600">
            <v:path arrowok="t"/>
            <v:fill on="f" focussize="0,0"/>
            <v:stroke weight="3pt" color="#00B050"/>
            <v:imagedata o:title=""/>
            <o:lock v:ext="edit" aspectratio="f"/>
          </v:line>
        </w:pict>
      </w:r>
      <w:r>
        <w:rPr>
          <w:sz w:val="21"/>
        </w:rPr>
        <w:pict>
          <v:rect id="_x0000_s2167" o:spid="_x0000_s2167" o:spt="1" style="position:absolute;left:0pt;margin-left:227.5pt;margin-top:92pt;height:113.9pt;width:115.35pt;rotation:-262144f;z-index:251734016;mso-width-relative:page;mso-height-relative:page;" filled="f" stroked="t" coordsize="21600,21600">
            <v:path/>
            <v:fill on="f" focussize="0,0"/>
            <v:stroke weight="3pt" color="#00B0F0" joinstyle="miter"/>
            <v:imagedata o:title=""/>
            <o:lock v:ext="edit" aspectratio="f"/>
            <v:textbox>
              <w:txbxContent>
                <w:p>
                  <w:pPr>
                    <w:rPr>
                      <w:b/>
                      <w:bCs/>
                      <w:color w:val="00B0F0"/>
                      <w:sz w:val="32"/>
                      <w:szCs w:val="32"/>
                    </w:rPr>
                  </w:pPr>
                  <w:r>
                    <w:rPr>
                      <w:rFonts w:hint="eastAsia"/>
                      <w:b/>
                      <w:bCs/>
                      <w:color w:val="00B0F0"/>
                      <w:sz w:val="32"/>
                      <w:szCs w:val="32"/>
                    </w:rPr>
                    <w:t>冶炼铁前110kV变电站</w:t>
                  </w:r>
                </w:p>
              </w:txbxContent>
            </v:textbox>
          </v:rect>
        </w:pict>
      </w:r>
      <w:r>
        <w:drawing>
          <wp:anchor distT="0" distB="0" distL="114300" distR="114300" simplePos="0" relativeHeight="251732992" behindDoc="0" locked="0" layoutInCell="1" allowOverlap="1">
            <wp:simplePos x="0" y="0"/>
            <wp:positionH relativeFrom="column">
              <wp:posOffset>6985</wp:posOffset>
            </wp:positionH>
            <wp:positionV relativeFrom="paragraph">
              <wp:posOffset>61595</wp:posOffset>
            </wp:positionV>
            <wp:extent cx="5905500" cy="6943725"/>
            <wp:effectExtent l="0" t="0" r="0" b="9525"/>
            <wp:wrapTopAndBottom/>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20"/>
                    <a:stretch>
                      <a:fillRect/>
                    </a:stretch>
                  </pic:blipFill>
                  <pic:spPr>
                    <a:xfrm>
                      <a:off x="0" y="0"/>
                      <a:ext cx="5905500" cy="6943725"/>
                    </a:xfrm>
                    <a:prstGeom prst="rect">
                      <a:avLst/>
                    </a:prstGeom>
                    <a:noFill/>
                    <a:ln w="9525">
                      <a:noFill/>
                    </a:ln>
                  </pic:spPr>
                </pic:pic>
              </a:graphicData>
            </a:graphic>
          </wp:anchor>
        </w:drawing>
      </w:r>
      <w:r>
        <w:rPr>
          <w:sz w:val="28"/>
        </w:rPr>
        <w:pict>
          <v:group id="_x0000_s2166" o:spid="_x0000_s2166" o:spt="203" style="position:absolute;left:0pt;margin-left:248.15pt;margin-top:556.35pt;height:45.3pt;width:175.3pt;z-index:251734016;mso-width-relative:page;mso-height-relative:page;" coordorigin="9744,230469" coordsize="3506,906">
            <o:lock v:ext="edit" aspectratio="f"/>
            <v:shape id="_x0000_s2164" o:spid="_x0000_s2164" o:spt="202" type="#_x0000_t202" style="position:absolute;left:9744;top:230469;height:906;width:3506;" fillcolor="#FFFFFF" filled="t" stroked="t" coordsize="21600,21600">
              <v:path/>
              <v:fill on="t" color2="#FFFFFF" focussize="0,0"/>
              <v:stroke color="#000000" joinstyle="miter"/>
              <v:imagedata o:title=""/>
              <o:lock v:ext="edit" aspectratio="f"/>
              <v:textbox>
                <w:txbxContent>
                  <w:p>
                    <w:pPr>
                      <w:rPr>
                        <w:sz w:val="24"/>
                      </w:rPr>
                    </w:pPr>
                    <w:r>
                      <w:rPr>
                        <w:rFonts w:hint="eastAsia"/>
                        <w:sz w:val="24"/>
                      </w:rPr>
                      <w:t>图例：</w:t>
                    </w:r>
                  </w:p>
                  <w:p>
                    <w:pPr>
                      <w:ind w:firstLine="600" w:firstLineChars="250"/>
                      <w:rPr>
                        <w:sz w:val="24"/>
                      </w:rPr>
                    </w:pPr>
                    <w:r>
                      <w:rPr>
                        <w:rFonts w:hint="eastAsia"/>
                        <w:sz w:val="24"/>
                      </w:rPr>
                      <w:t>110kV</w:t>
                    </w:r>
                    <w:r>
                      <w:rPr>
                        <w:rFonts w:hint="eastAsia"/>
                        <w:sz w:val="24"/>
                        <w:lang w:val="en-US" w:eastAsia="zh-CN"/>
                      </w:rPr>
                      <w:t>鼓风I、II、III</w:t>
                    </w:r>
                    <w:r>
                      <w:rPr>
                        <w:rFonts w:hint="eastAsia"/>
                        <w:sz w:val="24"/>
                      </w:rPr>
                      <w:t>线</w:t>
                    </w:r>
                  </w:p>
                  <w:p>
                    <w:pPr>
                      <w:ind w:firstLine="600" w:firstLineChars="250"/>
                      <w:rPr>
                        <w:sz w:val="24"/>
                      </w:rPr>
                    </w:pPr>
                  </w:p>
                </w:txbxContent>
              </v:textbox>
            </v:shape>
            <v:shape id="_x0000_s2165" o:spid="_x0000_s2165" o:spt="32" type="#_x0000_t32" style="position:absolute;left:9889;top:230981;height:0;width:520;" filled="f" stroked="t" coordsize="21600,21600">
              <v:path arrowok="t"/>
              <v:fill on="f" focussize="0,0"/>
              <v:stroke weight="1.25pt" color="#00B050"/>
              <v:imagedata o:title=""/>
              <o:lock v:ext="edit" aspectratio="f"/>
            </v:shape>
          </v:group>
        </w:pict>
      </w:r>
      <w:r>
        <w:rPr>
          <w:sz w:val="28"/>
        </w:rPr>
        <w:pict>
          <v:rect id="_x0000_s2163" o:spid="_x0000_s2163" o:spt="1" style="position:absolute;left:0pt;margin-left:-2pt;margin-top:1.65pt;height:695.5pt;width:471pt;z-index:251767808;mso-width-relative:page;mso-height-relative:page;" filled="f" stroked="t" coordsize="21600,21600">
            <v:path/>
            <v:fill on="f" focussize="0,0"/>
            <v:stroke color="#000000"/>
            <v:imagedata o:title=""/>
            <o:lock v:ext="edit" aspectratio="f"/>
          </v:rect>
        </w:pict>
      </w:r>
    </w:p>
    <w:p>
      <w:pPr>
        <w:spacing w:line="360" w:lineRule="auto"/>
        <w:jc w:val="center"/>
        <w:rPr>
          <w:rFonts w:hint="eastAsia"/>
          <w:sz w:val="28"/>
        </w:rPr>
      </w:pPr>
    </w:p>
    <w:p>
      <w:pPr>
        <w:spacing w:line="360" w:lineRule="auto"/>
        <w:jc w:val="center"/>
        <w:rPr>
          <w:rFonts w:hint="eastAsia" w:ascii="黑体" w:hAnsi="宋体" w:eastAsia="黑体" w:cs="Times New Roman"/>
          <w:snapToGrid w:val="0"/>
          <w:kern w:val="0"/>
          <w:sz w:val="28"/>
          <w:szCs w:val="28"/>
          <w:lang w:val="en-US" w:eastAsia="zh-CN"/>
        </w:rPr>
        <w:sectPr>
          <w:pgSz w:w="11906" w:h="16838"/>
          <w:pgMar w:top="1418" w:right="1247" w:bottom="1418" w:left="1247" w:header="851" w:footer="992" w:gutter="0"/>
          <w:pgNumType w:fmt="numberInDash"/>
          <w:cols w:space="720" w:num="1"/>
          <w:titlePg/>
          <w:docGrid w:type="lines" w:linePitch="312" w:charSpace="0"/>
        </w:sectPr>
      </w:pPr>
      <w:r>
        <w:rPr>
          <w:rFonts w:hint="eastAsia" w:ascii="黑体" w:hAnsi="宋体" w:eastAsia="黑体" w:cs="Times New Roman"/>
          <w:snapToGrid w:val="0"/>
          <w:kern w:val="0"/>
          <w:sz w:val="28"/>
          <w:szCs w:val="28"/>
        </w:rPr>
        <w:t>图1-</w:t>
      </w:r>
      <w:r>
        <w:rPr>
          <w:rFonts w:hint="eastAsia" w:ascii="黑体" w:hAnsi="宋体" w:eastAsia="黑体" w:cs="Times New Roman"/>
          <w:snapToGrid w:val="0"/>
          <w:kern w:val="0"/>
          <w:sz w:val="28"/>
          <w:szCs w:val="28"/>
          <w:lang w:val="en-US" w:eastAsia="zh-CN"/>
        </w:rPr>
        <w:t xml:space="preserve">8 </w:t>
      </w:r>
      <w:r>
        <w:rPr>
          <w:rFonts w:hint="eastAsia" w:ascii="黑体" w:hAnsi="宋体" w:eastAsia="黑体"/>
          <w:snapToGrid w:val="0"/>
          <w:kern w:val="0"/>
          <w:sz w:val="28"/>
          <w:szCs w:val="28"/>
        </w:rPr>
        <w:t>本工程线路路径图</w:t>
      </w:r>
    </w:p>
    <w:p>
      <w:pPr>
        <w:spacing w:line="360" w:lineRule="auto"/>
        <w:rPr>
          <w:rFonts w:eastAsia="黑体"/>
          <w:bCs/>
          <w:sz w:val="28"/>
          <w:szCs w:val="28"/>
        </w:rPr>
      </w:pPr>
      <w:r>
        <w:rPr>
          <w:rFonts w:ascii="黑体" w:eastAsia="黑体"/>
          <w:bCs/>
          <w:sz w:val="28"/>
          <w:szCs w:val="28"/>
        </w:rPr>
        <w:t>2</w:t>
      </w:r>
      <w:r>
        <w:rPr>
          <w:rFonts w:hint="eastAsia" w:ascii="黑体" w:eastAsia="黑体"/>
          <w:bCs/>
          <w:sz w:val="28"/>
          <w:szCs w:val="28"/>
        </w:rPr>
        <w:t>建设</w:t>
      </w:r>
      <w:r>
        <w:rPr>
          <w:rFonts w:hint="eastAsia" w:eastAsia="黑体"/>
          <w:bCs/>
          <w:sz w:val="28"/>
          <w:szCs w:val="28"/>
        </w:rPr>
        <w:t>项目所在地自然环境简况</w:t>
      </w:r>
    </w:p>
    <w:tbl>
      <w:tblPr>
        <w:tblStyle w:val="22"/>
        <w:tblW w:w="936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60" w:type="dxa"/>
          </w:tcPr>
          <w:p>
            <w:pPr>
              <w:spacing w:line="360" w:lineRule="auto"/>
              <w:rPr>
                <w:rFonts w:ascii="黑体" w:hAnsi="宋体" w:eastAsia="黑体"/>
                <w:sz w:val="28"/>
                <w:szCs w:val="28"/>
              </w:rPr>
            </w:pPr>
            <w:r>
              <w:rPr>
                <w:rFonts w:hint="eastAsia" w:ascii="黑体" w:hAnsi="宋体" w:eastAsia="黑体"/>
                <w:sz w:val="28"/>
                <w:szCs w:val="28"/>
              </w:rPr>
              <w:t>自然环境简况</w:t>
            </w:r>
            <w:r>
              <w:rPr>
                <w:rFonts w:ascii="黑体" w:hAnsi="宋体" w:eastAsia="黑体"/>
                <w:sz w:val="28"/>
                <w:szCs w:val="28"/>
              </w:rPr>
              <w:t>(</w:t>
            </w:r>
            <w:r>
              <w:rPr>
                <w:rFonts w:hint="eastAsia" w:ascii="黑体" w:hAnsi="宋体" w:eastAsia="黑体"/>
                <w:sz w:val="28"/>
                <w:szCs w:val="28"/>
              </w:rPr>
              <w:t>地形地貌、地质、水文特征、气候气象特征</w:t>
            </w:r>
            <w:r>
              <w:rPr>
                <w:rFonts w:ascii="黑体" w:hAnsi="宋体" w:eastAsia="黑体"/>
                <w:sz w:val="28"/>
                <w:szCs w:val="28"/>
              </w:rPr>
              <w:t>)</w:t>
            </w:r>
            <w:r>
              <w:rPr>
                <w:rFonts w:hint="eastAsia" w:ascii="黑体" w:hAnsi="宋体" w:eastAsia="黑体"/>
                <w:sz w:val="28"/>
                <w:szCs w:val="28"/>
              </w:rPr>
              <w:t>：</w:t>
            </w:r>
          </w:p>
          <w:p>
            <w:pPr>
              <w:widowControl/>
              <w:spacing w:line="360" w:lineRule="auto"/>
              <w:ind w:firstLine="432" w:firstLineChars="180"/>
              <w:rPr>
                <w:rFonts w:ascii="宋体" w:hAnsi="宋体"/>
                <w:sz w:val="24"/>
              </w:rPr>
            </w:pPr>
            <w:r>
              <w:rPr>
                <w:rFonts w:hint="eastAsia" w:ascii="宋体" w:hAnsi="宋体"/>
                <w:sz w:val="24"/>
              </w:rPr>
              <w:t>青岛市黄岛区位于山东半岛胶州湾西海岸，地处东经120°01′～120°20′、北纬35°53′～36°03′。东与青岛市市南区隔海相望，海上最近距离2.26海里，南濒黄海，北、西分别与胶州、胶南两市接壤。是2014年6月3日经国务院批复设立的第九个国家级新区，所辖范围包括青岛市黄岛区全域，辖26个镇街、1221个村居，总人口180万。具备陆海统筹、城乡一体、军民融合三大独特条件，形成了综合实力、区位交通、海洋科技、开放合作、政策环境五大综合优势。</w:t>
            </w:r>
          </w:p>
          <w:p>
            <w:pPr>
              <w:widowControl/>
              <w:spacing w:line="360" w:lineRule="auto"/>
              <w:ind w:firstLine="432" w:firstLineChars="180"/>
              <w:rPr>
                <w:rFonts w:ascii="宋体" w:hAnsi="宋体"/>
                <w:sz w:val="24"/>
              </w:rPr>
            </w:pPr>
            <w:r>
              <w:rPr>
                <w:rFonts w:hint="eastAsia" w:ascii="宋体" w:hAnsi="宋体"/>
                <w:sz w:val="24"/>
              </w:rPr>
              <w:t>全区地形以平原为主，东南部沿海，西北为山地。小珠山海拔最高724.9米，大多数地区海拔在50米以上，有名称、海拔在百米以上的山有42座。地势大致呈西高东低趋势，南部属成岩地区，以断裂结构为主，无活动性。黄岛街道办事处南部、薛家岛街道办事处中部、黄岛街道办事处前湾顶部陆域主要为燕山期花岗岩的低山丘陵地区，黄岛街道办事处东北部广布有火山岩系，经长期风化、剥蚀及冲积，成为现在的坡状平原。历史上有少量微震、弱震记录，底层稳定。境内河流总长139千米，流域面积113.2平方千米。潮汐属正规半日潮型。最高潮位5.36米，最低潮位-0.62米，平均高潮位3.77米，平均低潮位1.00米，每个太阳日（24小时48分）有两次高潮和两次低潮。潮差为1.9～3.5米，大潮差发生于朔或望（上弦或下弦）日后2～3天。8月份的潮位比1月份的潮位一般高出0.5米。海岸线长144.5千米，有岛域12个（其中有居民海岛1个，是竹岔岛；无居民海岛11个，有脱岛、牛岛、大石岛、小石岛等），岛礁、海湾、岬角遍布海岸，基底坚实，湾内航道水深，不冻不淤。域内属温带季风气候。空气湿润，雨量充沛，温度适中，昼夜温差小，年平均气温12.5℃，四季分明。表现出春寒、夏凉、秋爽、冬暖的海洋性气候特征。</w:t>
            </w:r>
          </w:p>
          <w:p>
            <w:pPr>
              <w:widowControl/>
              <w:spacing w:line="360" w:lineRule="auto"/>
              <w:ind w:firstLine="432" w:firstLineChars="180"/>
              <w:rPr>
                <w:rFonts w:ascii="宋体" w:hAnsi="宋体"/>
                <w:sz w:val="24"/>
              </w:rPr>
            </w:pPr>
            <w:r>
              <w:rPr>
                <w:rFonts w:hint="eastAsia" w:ascii="宋体" w:hAnsi="宋体"/>
                <w:sz w:val="24"/>
              </w:rPr>
              <w:t>全区土地总面积27316.61公顷。境内有建筑沙52万立方米，工业沙310万立方米，风化沙95000立方米。花岗岩蕴藏量8亿立方米，石灰石储量为865万立方米，白云石储量8.6万立方米。区内植物资源有林木品种50科，90属，100多个树种。动物资源主要有兽类10余种，鸟类30余种，蛇虫类近20种。海洋生物资源有鱼类50多种，虾蟹类10余种，贝类40余种，藻类10余种。</w:t>
            </w:r>
          </w:p>
          <w:p>
            <w:pPr>
              <w:widowControl/>
              <w:spacing w:line="360" w:lineRule="auto"/>
              <w:ind w:firstLine="432" w:firstLineChars="180"/>
              <w:rPr>
                <w:rFonts w:ascii="宋体" w:hAnsi="宋体"/>
                <w:sz w:val="24"/>
              </w:rPr>
            </w:pPr>
          </w:p>
          <w:p>
            <w:pPr>
              <w:widowControl/>
              <w:spacing w:line="360" w:lineRule="auto"/>
              <w:ind w:firstLine="432" w:firstLineChars="180"/>
              <w:rPr>
                <w:rFonts w:ascii="宋体" w:hAnsi="宋体"/>
                <w:sz w:val="24"/>
              </w:rPr>
            </w:pPr>
          </w:p>
        </w:tc>
      </w:tr>
    </w:tbl>
    <w:p>
      <w:pPr>
        <w:rPr>
          <w:rFonts w:ascii="黑体" w:eastAsia="黑体"/>
          <w:bCs/>
          <w:sz w:val="28"/>
          <w:szCs w:val="28"/>
        </w:rPr>
        <w:sectPr>
          <w:pgSz w:w="11906" w:h="16838"/>
          <w:pgMar w:top="1418" w:right="1247" w:bottom="1418" w:left="1247" w:header="851" w:footer="992" w:gutter="0"/>
          <w:pgNumType w:fmt="numberInDash"/>
          <w:cols w:space="720" w:num="1"/>
          <w:titlePg/>
          <w:docGrid w:type="lines" w:linePitch="312" w:charSpace="0"/>
        </w:sectPr>
      </w:pPr>
    </w:p>
    <w:p>
      <w:pPr>
        <w:rPr>
          <w:rFonts w:ascii="黑体" w:eastAsia="黑体"/>
          <w:bCs/>
          <w:sz w:val="28"/>
          <w:szCs w:val="28"/>
        </w:rPr>
      </w:pPr>
      <w:r>
        <w:rPr>
          <w:rFonts w:ascii="黑体" w:eastAsia="黑体"/>
          <w:bCs/>
          <w:sz w:val="28"/>
          <w:szCs w:val="28"/>
        </w:rPr>
        <w:t>3</w:t>
      </w:r>
      <w:r>
        <w:rPr>
          <w:rFonts w:hint="eastAsia" w:ascii="黑体" w:eastAsia="黑体"/>
          <w:bCs/>
          <w:sz w:val="28"/>
          <w:szCs w:val="28"/>
        </w:rPr>
        <w:t>．环境质量状况</w:t>
      </w:r>
    </w:p>
    <w:tbl>
      <w:tblPr>
        <w:tblStyle w:val="22"/>
        <w:tblW w:w="952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167" w:hRule="atLeast"/>
        </w:trPr>
        <w:tc>
          <w:tcPr>
            <w:tcW w:w="9520" w:type="dxa"/>
          </w:tcPr>
          <w:p>
            <w:pPr>
              <w:pStyle w:val="18"/>
              <w:spacing w:after="0" w:line="360" w:lineRule="auto"/>
              <w:rPr>
                <w:b/>
                <w:sz w:val="24"/>
                <w:szCs w:val="24"/>
              </w:rPr>
            </w:pPr>
            <w:r>
              <w:rPr>
                <w:rFonts w:hint="eastAsia"/>
                <w:b/>
                <w:sz w:val="24"/>
                <w:szCs w:val="24"/>
              </w:rPr>
              <w:t>建设项目所在地区域环境现状检测</w:t>
            </w:r>
          </w:p>
          <w:p>
            <w:pPr>
              <w:adjustRightInd w:val="0"/>
              <w:snapToGrid w:val="0"/>
              <w:spacing w:line="360" w:lineRule="auto"/>
              <w:ind w:firstLine="480" w:firstLineChars="200"/>
              <w:rPr>
                <w:rFonts w:ascii="宋体" w:hAnsi="宋体"/>
                <w:kern w:val="0"/>
                <w:sz w:val="24"/>
              </w:rPr>
            </w:pPr>
            <w:r>
              <w:rPr>
                <w:rFonts w:hint="eastAsia"/>
                <w:kern w:val="0"/>
                <w:sz w:val="24"/>
              </w:rPr>
              <w:t>本工程</w:t>
            </w:r>
            <w:r>
              <w:rPr>
                <w:rFonts w:hint="eastAsia" w:ascii="宋体" w:hAnsi="宋体"/>
                <w:kern w:val="0"/>
                <w:sz w:val="24"/>
              </w:rPr>
              <w:t>变电站已建成投运</w:t>
            </w:r>
            <w:r>
              <w:rPr>
                <w:rFonts w:hint="eastAsia"/>
                <w:kern w:val="0"/>
                <w:sz w:val="24"/>
              </w:rPr>
              <w:t>，为了解</w:t>
            </w:r>
            <w:r>
              <w:rPr>
                <w:rFonts w:hint="eastAsia" w:ascii="宋体" w:hAnsi="宋体"/>
                <w:kern w:val="0"/>
                <w:sz w:val="24"/>
              </w:rPr>
              <w:t>变电站周围的环境</w:t>
            </w:r>
            <w:r>
              <w:rPr>
                <w:rFonts w:hint="eastAsia"/>
                <w:kern w:val="0"/>
                <w:sz w:val="24"/>
              </w:rPr>
              <w:t>现状，</w:t>
            </w:r>
            <w:r>
              <w:rPr>
                <w:rFonts w:hint="eastAsia" w:ascii="宋体" w:hAnsi="宋体"/>
                <w:bCs/>
                <w:sz w:val="24"/>
              </w:rPr>
              <w:t>山东省波尔辐射环境技术中心</w:t>
            </w:r>
            <w:r>
              <w:rPr>
                <w:rFonts w:hint="eastAsia"/>
                <w:kern w:val="0"/>
                <w:sz w:val="24"/>
              </w:rPr>
              <w:t>对</w:t>
            </w:r>
            <w:r>
              <w:rPr>
                <w:rFonts w:hint="eastAsia" w:ascii="宋体" w:hAnsi="宋体"/>
                <w:kern w:val="0"/>
                <w:sz w:val="24"/>
              </w:rPr>
              <w:t>本工程变电站周围的</w:t>
            </w:r>
            <w:r>
              <w:rPr>
                <w:rFonts w:hint="eastAsia" w:ascii="宋体" w:hAnsi="宋体"/>
                <w:snapToGrid w:val="0"/>
                <w:kern w:val="0"/>
                <w:sz w:val="24"/>
              </w:rPr>
              <w:t>工频电场、工频磁场</w:t>
            </w:r>
            <w:r>
              <w:rPr>
                <w:rFonts w:hint="eastAsia" w:ascii="宋体" w:hAnsi="宋体"/>
                <w:kern w:val="0"/>
                <w:sz w:val="24"/>
              </w:rPr>
              <w:t>现状进行了检测。</w:t>
            </w:r>
          </w:p>
          <w:p>
            <w:pPr>
              <w:pStyle w:val="2"/>
              <w:spacing w:after="0" w:line="360" w:lineRule="auto"/>
              <w:ind w:firstLine="480" w:firstLineChars="200"/>
              <w:jc w:val="both"/>
              <w:rPr>
                <w:rFonts w:hint="eastAsia" w:eastAsia="宋体"/>
                <w:kern w:val="0"/>
                <w:sz w:val="24"/>
                <w:lang w:val="en-US" w:eastAsia="zh-CN"/>
              </w:rPr>
            </w:pPr>
            <w:r>
              <w:rPr>
                <w:rFonts w:hint="eastAsia" w:ascii="宋体" w:hAnsi="宋体"/>
                <w:kern w:val="0"/>
                <w:sz w:val="24"/>
              </w:rPr>
              <w:t>由于本工程变电站位于青岛特钢厂区内，厂区内其他生产设备对变电站厂界周围的噪声影响远大于变电站正常运行的噪声，同时变电站距离公司厂区最近距离约</w:t>
            </w:r>
            <w:r>
              <w:rPr>
                <w:rFonts w:hint="eastAsia" w:ascii="宋体" w:hAnsi="宋体"/>
                <w:kern w:val="0"/>
                <w:sz w:val="24"/>
                <w:lang w:val="en-US" w:eastAsia="zh-CN"/>
              </w:rPr>
              <w:t>72</w:t>
            </w:r>
            <w:r>
              <w:rPr>
                <w:rFonts w:hint="eastAsia" w:ascii="宋体" w:hAnsi="宋体"/>
                <w:kern w:val="0"/>
                <w:sz w:val="24"/>
              </w:rPr>
              <w:t>0m，远超出</w:t>
            </w:r>
            <w:r>
              <w:rPr>
                <w:rFonts w:hint="eastAsia" w:ascii="宋体" w:hAnsi="宋体"/>
                <w:kern w:val="0"/>
                <w:sz w:val="24"/>
                <w:lang w:val="en-US" w:eastAsia="zh-CN"/>
              </w:rPr>
              <w:t>变电站</w:t>
            </w:r>
            <w:r>
              <w:rPr>
                <w:rFonts w:hint="eastAsia" w:ascii="宋体" w:hAnsi="宋体"/>
                <w:kern w:val="0"/>
                <w:sz w:val="24"/>
              </w:rPr>
              <w:t>评价范围，</w:t>
            </w:r>
            <w:r>
              <w:rPr>
                <w:rFonts w:hint="eastAsia" w:ascii="宋体" w:hAnsi="宋体"/>
                <w:kern w:val="0"/>
                <w:sz w:val="24"/>
                <w:lang w:val="en-US" w:eastAsia="zh-CN"/>
              </w:rPr>
              <w:t>故以青岛特钢厂区边界噪声</w:t>
            </w:r>
            <w:r>
              <w:rPr>
                <w:rFonts w:hint="eastAsia" w:ascii="宋体" w:hAnsi="宋体" w:eastAsia="宋体" w:cs="Times New Roman"/>
                <w:kern w:val="0"/>
                <w:sz w:val="24"/>
                <w:lang w:val="en-US" w:eastAsia="zh-CN"/>
              </w:rPr>
              <w:t>来评价厂界噪声是否达标</w:t>
            </w:r>
            <w:r>
              <w:rPr>
                <w:rFonts w:hint="eastAsia" w:ascii="宋体" w:hAnsi="宋体" w:eastAsia="宋体" w:cs="Times New Roman"/>
                <w:kern w:val="0"/>
                <w:sz w:val="24"/>
              </w:rPr>
              <w:t>。</w:t>
            </w:r>
            <w:r>
              <w:rPr>
                <w:rFonts w:hint="eastAsia" w:ascii="宋体" w:hAnsi="宋体" w:eastAsia="宋体" w:cs="Times New Roman"/>
                <w:kern w:val="0"/>
                <w:sz w:val="24"/>
                <w:lang w:val="en-US" w:eastAsia="zh-CN"/>
              </w:rPr>
              <w:t>2018年11月青岛特钢委托</w:t>
            </w:r>
            <w:r>
              <w:rPr>
                <w:rFonts w:hint="eastAsia" w:ascii="宋体" w:hAnsi="宋体" w:eastAsia="宋体" w:cs="Times New Roman"/>
                <w:kern w:val="0"/>
                <w:sz w:val="24"/>
              </w:rPr>
              <w:t>青岛中维安全检测有限公司</w:t>
            </w:r>
            <w:r>
              <w:rPr>
                <w:rFonts w:hint="eastAsia" w:ascii="宋体" w:hAnsi="宋体" w:eastAsia="宋体" w:cs="Times New Roman"/>
                <w:kern w:val="0"/>
                <w:sz w:val="24"/>
                <w:lang w:val="en-US" w:eastAsia="zh-CN"/>
              </w:rPr>
              <w:t>对“</w:t>
            </w:r>
            <w:r>
              <w:rPr>
                <w:rFonts w:hint="eastAsia" w:ascii="宋体" w:hAnsi="宋体" w:eastAsia="宋体" w:cs="Times New Roman"/>
                <w:kern w:val="0"/>
                <w:sz w:val="24"/>
                <w:lang w:val="zh-TW" w:eastAsia="zh-TW"/>
              </w:rPr>
              <w:t>青岛钢铁有限公司城市钢厂环保搬迁项目（噪声、固体废物污染防治设施）</w:t>
            </w:r>
            <w:r>
              <w:rPr>
                <w:rFonts w:hint="eastAsia" w:ascii="宋体" w:hAnsi="宋体" w:eastAsia="宋体" w:cs="Times New Roman"/>
                <w:kern w:val="0"/>
                <w:sz w:val="24"/>
                <w:lang w:val="en-US" w:eastAsia="zh-CN"/>
              </w:rPr>
              <w:t>”进行竣工环保验收监测，验收</w:t>
            </w:r>
            <w:r>
              <w:rPr>
                <w:rFonts w:hint="eastAsia" w:ascii="宋体" w:hAnsi="宋体" w:eastAsia="宋体" w:cs="Times New Roman"/>
                <w:kern w:val="0"/>
                <w:sz w:val="24"/>
              </w:rPr>
              <w:t>监测结果表明：23个噪声监测点位2天8次监测中，东、南、西、北厂界昼间噪声在</w:t>
            </w:r>
            <w:r>
              <w:rPr>
                <w:rFonts w:hint="eastAsia" w:ascii="宋体" w:hAnsi="宋体" w:eastAsia="宋体" w:cs="Times New Roman"/>
                <w:kern w:val="0"/>
                <w:sz w:val="24"/>
                <w:lang w:eastAsia="zh-CN"/>
              </w:rPr>
              <w:t>（</w:t>
            </w:r>
            <w:r>
              <w:rPr>
                <w:rFonts w:hint="eastAsia" w:ascii="宋体" w:hAnsi="宋体" w:eastAsia="宋体" w:cs="Times New Roman"/>
                <w:kern w:val="0"/>
                <w:sz w:val="24"/>
              </w:rPr>
              <w:t>57.4</w:t>
            </w:r>
            <w:r>
              <w:rPr>
                <w:rFonts w:hint="eastAsia" w:ascii="宋体" w:hAnsi="宋体"/>
                <w:szCs w:val="21"/>
              </w:rPr>
              <w:t>～</w:t>
            </w:r>
            <w:r>
              <w:rPr>
                <w:rFonts w:hint="eastAsia" w:ascii="宋体" w:hAnsi="宋体" w:eastAsia="宋体" w:cs="Times New Roman"/>
                <w:kern w:val="0"/>
                <w:sz w:val="24"/>
              </w:rPr>
              <w:t>62.4</w:t>
            </w:r>
            <w:r>
              <w:rPr>
                <w:rFonts w:hint="eastAsia" w:ascii="宋体" w:hAnsi="宋体" w:eastAsia="宋体" w:cs="Times New Roman"/>
                <w:kern w:val="0"/>
                <w:sz w:val="24"/>
                <w:lang w:eastAsia="zh-CN"/>
              </w:rPr>
              <w:t>）</w:t>
            </w:r>
            <w:r>
              <w:rPr>
                <w:rFonts w:hint="eastAsia" w:ascii="宋体" w:hAnsi="宋体" w:eastAsia="宋体" w:cs="Times New Roman"/>
                <w:kern w:val="0"/>
                <w:sz w:val="24"/>
              </w:rPr>
              <w:t>dB（A）之间，东、南、西、北厂界夜间噪声在</w:t>
            </w:r>
            <w:r>
              <w:rPr>
                <w:rFonts w:hint="eastAsia" w:ascii="宋体" w:hAnsi="宋体" w:eastAsia="宋体" w:cs="Times New Roman"/>
                <w:kern w:val="0"/>
                <w:sz w:val="24"/>
                <w:lang w:eastAsia="zh-CN"/>
              </w:rPr>
              <w:t>（</w:t>
            </w:r>
            <w:r>
              <w:rPr>
                <w:rFonts w:hint="eastAsia" w:ascii="宋体" w:hAnsi="宋体" w:eastAsia="宋体" w:cs="Times New Roman"/>
                <w:kern w:val="0"/>
                <w:sz w:val="24"/>
              </w:rPr>
              <w:t>51.3</w:t>
            </w:r>
            <w:r>
              <w:rPr>
                <w:rFonts w:hint="eastAsia" w:ascii="宋体" w:hAnsi="宋体"/>
                <w:szCs w:val="21"/>
              </w:rPr>
              <w:t>～</w:t>
            </w:r>
            <w:r>
              <w:rPr>
                <w:rFonts w:hint="eastAsia" w:ascii="宋体" w:hAnsi="宋体" w:eastAsia="宋体" w:cs="Times New Roman"/>
                <w:kern w:val="0"/>
                <w:sz w:val="24"/>
              </w:rPr>
              <w:t>54.2</w:t>
            </w:r>
            <w:r>
              <w:rPr>
                <w:rFonts w:hint="eastAsia" w:ascii="宋体" w:hAnsi="宋体" w:eastAsia="宋体" w:cs="Times New Roman"/>
                <w:kern w:val="0"/>
                <w:sz w:val="24"/>
                <w:lang w:eastAsia="zh-CN"/>
              </w:rPr>
              <w:t>）</w:t>
            </w:r>
            <w:r>
              <w:rPr>
                <w:rFonts w:hint="eastAsia" w:ascii="宋体" w:hAnsi="宋体" w:eastAsia="宋体" w:cs="Times New Roman"/>
                <w:kern w:val="0"/>
                <w:sz w:val="24"/>
              </w:rPr>
              <w:t>dB（A）之间，厂界噪声排放达到《工业企业厂界环境噪声排放标准》 ( GB12348-2008)表1中3类区标准（昼间65</w:t>
            </w:r>
            <w:r>
              <w:rPr>
                <w:rFonts w:hint="eastAsia" w:ascii="宋体" w:hAnsi="宋体" w:eastAsia="宋体" w:cs="Times New Roman"/>
                <w:kern w:val="0"/>
                <w:sz w:val="24"/>
                <w:lang w:val="en-US" w:eastAsia="zh-CN"/>
              </w:rPr>
              <w:t>dB</w:t>
            </w:r>
            <w:r>
              <w:rPr>
                <w:rFonts w:hint="eastAsia" w:ascii="宋体" w:hAnsi="宋体" w:eastAsia="宋体" w:cs="Times New Roman"/>
                <w:kern w:val="0"/>
                <w:sz w:val="24"/>
              </w:rPr>
              <w:t>（</w:t>
            </w:r>
            <w:r>
              <w:rPr>
                <w:rFonts w:hint="eastAsia" w:ascii="宋体" w:hAnsi="宋体" w:eastAsia="宋体" w:cs="Times New Roman"/>
                <w:kern w:val="0"/>
                <w:sz w:val="24"/>
                <w:lang w:val="en-US" w:eastAsia="zh-CN"/>
              </w:rPr>
              <w:t>A</w:t>
            </w:r>
            <w:r>
              <w:rPr>
                <w:rFonts w:hint="eastAsia" w:ascii="宋体" w:hAnsi="宋体" w:eastAsia="宋体" w:cs="Times New Roman"/>
                <w:kern w:val="0"/>
                <w:sz w:val="24"/>
              </w:rPr>
              <w:t>）、夜间</w:t>
            </w:r>
            <w:r>
              <w:rPr>
                <w:rFonts w:hint="eastAsia" w:ascii="宋体" w:hAnsi="宋体" w:cs="Times New Roman"/>
                <w:color w:val="FF0000"/>
                <w:kern w:val="0"/>
                <w:sz w:val="24"/>
                <w:lang w:val="en-US" w:eastAsia="zh-CN"/>
              </w:rPr>
              <w:t>5</w:t>
            </w:r>
            <w:r>
              <w:rPr>
                <w:rFonts w:hint="eastAsia" w:ascii="宋体" w:hAnsi="宋体" w:eastAsia="宋体" w:cs="Times New Roman"/>
                <w:color w:val="FF0000"/>
                <w:kern w:val="0"/>
                <w:sz w:val="24"/>
              </w:rPr>
              <w:t>5</w:t>
            </w:r>
            <w:r>
              <w:rPr>
                <w:rFonts w:hint="eastAsia" w:ascii="宋体" w:hAnsi="宋体" w:eastAsia="宋体" w:cs="Times New Roman"/>
                <w:kern w:val="0"/>
                <w:sz w:val="24"/>
                <w:lang w:val="en-US" w:eastAsia="zh-CN"/>
              </w:rPr>
              <w:t>dB</w:t>
            </w:r>
            <w:r>
              <w:rPr>
                <w:rFonts w:hint="eastAsia" w:ascii="宋体" w:hAnsi="宋体" w:eastAsia="宋体" w:cs="Times New Roman"/>
                <w:kern w:val="0"/>
                <w:sz w:val="24"/>
              </w:rPr>
              <w:t>（</w:t>
            </w:r>
            <w:r>
              <w:rPr>
                <w:rFonts w:hint="eastAsia" w:ascii="宋体" w:hAnsi="宋体" w:eastAsia="宋体" w:cs="Times New Roman"/>
                <w:kern w:val="0"/>
                <w:sz w:val="24"/>
                <w:lang w:val="en-US" w:eastAsia="zh-CN"/>
              </w:rPr>
              <w:t>A</w:t>
            </w:r>
            <w:r>
              <w:rPr>
                <w:rFonts w:hint="eastAsia" w:ascii="宋体" w:hAnsi="宋体" w:eastAsia="宋体" w:cs="Times New Roman"/>
                <w:kern w:val="0"/>
                <w:sz w:val="24"/>
              </w:rPr>
              <w:t>））。</w:t>
            </w:r>
            <w:r>
              <w:rPr>
                <w:rFonts w:hint="eastAsia" w:ascii="宋体" w:hAnsi="宋体" w:eastAsia="宋体" w:cs="Times New Roman"/>
                <w:kern w:val="0"/>
                <w:sz w:val="24"/>
                <w:lang w:val="en-US" w:eastAsia="zh-CN"/>
              </w:rPr>
              <w:t>故本评价报告不再对厂界噪声进行检测。</w:t>
            </w:r>
          </w:p>
          <w:p>
            <w:pPr>
              <w:pStyle w:val="18"/>
              <w:spacing w:after="0" w:line="360" w:lineRule="auto"/>
              <w:rPr>
                <w:rFonts w:ascii="黑体" w:eastAsia="黑体"/>
                <w:snapToGrid w:val="0"/>
                <w:kern w:val="0"/>
                <w:szCs w:val="28"/>
              </w:rPr>
            </w:pPr>
            <w:r>
              <w:rPr>
                <w:rFonts w:ascii="黑体" w:eastAsia="黑体"/>
                <w:szCs w:val="28"/>
              </w:rPr>
              <w:t xml:space="preserve">3.1 </w:t>
            </w:r>
            <w:r>
              <w:rPr>
                <w:rFonts w:hint="eastAsia" w:ascii="黑体" w:hAnsi="宋体" w:eastAsia="黑体"/>
                <w:snapToGrid w:val="0"/>
                <w:kern w:val="0"/>
                <w:szCs w:val="28"/>
              </w:rPr>
              <w:t>检测仪器</w:t>
            </w:r>
          </w:p>
          <w:p>
            <w:pPr>
              <w:pStyle w:val="5"/>
              <w:spacing w:line="360" w:lineRule="auto"/>
              <w:ind w:firstLine="480"/>
              <w:rPr>
                <w:snapToGrid w:val="0"/>
                <w:kern w:val="0"/>
                <w:szCs w:val="24"/>
              </w:rPr>
            </w:pPr>
            <w:r>
              <w:rPr>
                <w:rFonts w:hint="eastAsia" w:hAnsi="宋体"/>
                <w:snapToGrid w:val="0"/>
                <w:kern w:val="0"/>
                <w:szCs w:val="24"/>
              </w:rPr>
              <w:t>主要检测仪器及相关性能指标见表</w:t>
            </w:r>
            <w:r>
              <w:rPr>
                <w:snapToGrid w:val="0"/>
                <w:kern w:val="0"/>
                <w:szCs w:val="24"/>
              </w:rPr>
              <w:t>3-1</w:t>
            </w:r>
            <w:r>
              <w:rPr>
                <w:rFonts w:hint="eastAsia"/>
                <w:snapToGrid w:val="0"/>
                <w:kern w:val="0"/>
                <w:szCs w:val="24"/>
              </w:rPr>
              <w:t>和表3-2</w:t>
            </w:r>
            <w:r>
              <w:rPr>
                <w:rFonts w:hint="eastAsia" w:hAnsi="宋体"/>
                <w:snapToGrid w:val="0"/>
                <w:kern w:val="0"/>
                <w:szCs w:val="24"/>
              </w:rPr>
              <w:t>。</w:t>
            </w:r>
          </w:p>
          <w:p>
            <w:pPr>
              <w:pStyle w:val="5"/>
              <w:spacing w:line="360" w:lineRule="auto"/>
              <w:ind w:firstLine="480"/>
              <w:jc w:val="center"/>
              <w:rPr>
                <w:rFonts w:ascii="黑体" w:hAnsi="宋体" w:eastAsia="黑体"/>
                <w:snapToGrid w:val="0"/>
                <w:kern w:val="0"/>
                <w:szCs w:val="21"/>
              </w:rPr>
            </w:pPr>
            <w:r>
              <w:rPr>
                <w:rFonts w:hint="eastAsia" w:ascii="黑体" w:hAnsi="宋体" w:eastAsia="黑体"/>
                <w:snapToGrid w:val="0"/>
                <w:kern w:val="0"/>
                <w:szCs w:val="21"/>
              </w:rPr>
              <w:t>表</w:t>
            </w:r>
            <w:r>
              <w:rPr>
                <w:rFonts w:ascii="黑体" w:hAnsi="宋体" w:eastAsia="黑体"/>
                <w:snapToGrid w:val="0"/>
                <w:kern w:val="0"/>
                <w:szCs w:val="21"/>
              </w:rPr>
              <w:t xml:space="preserve">3-1  </w:t>
            </w:r>
            <w:r>
              <w:rPr>
                <w:rFonts w:hint="eastAsia" w:ascii="黑体" w:hAnsi="宋体" w:eastAsia="黑体"/>
                <w:snapToGrid w:val="0"/>
                <w:kern w:val="0"/>
                <w:szCs w:val="21"/>
              </w:rPr>
              <w:t>本次检测所用检测仪器相关指标</w:t>
            </w:r>
          </w:p>
          <w:tbl>
            <w:tblPr>
              <w:tblStyle w:val="22"/>
              <w:tblW w:w="876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0"/>
              <w:gridCol w:w="1596"/>
              <w:gridCol w:w="1582"/>
              <w:gridCol w:w="1685"/>
              <w:gridCol w:w="1267"/>
              <w:gridCol w:w="1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3" w:hRule="atLeast"/>
                <w:jc w:val="center"/>
              </w:trPr>
              <w:tc>
                <w:tcPr>
                  <w:tcW w:w="1380"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仪器</w:t>
                  </w:r>
                </w:p>
                <w:p>
                  <w:pPr>
                    <w:tabs>
                      <w:tab w:val="left" w:pos="3720"/>
                    </w:tabs>
                    <w:jc w:val="center"/>
                    <w:rPr>
                      <w:rFonts w:ascii="宋体"/>
                      <w:szCs w:val="21"/>
                    </w:rPr>
                  </w:pPr>
                  <w:r>
                    <w:rPr>
                      <w:rFonts w:hint="eastAsia" w:ascii="宋体" w:hAnsi="宋体"/>
                      <w:szCs w:val="21"/>
                    </w:rPr>
                    <w:t>名称</w:t>
                  </w:r>
                </w:p>
              </w:tc>
              <w:tc>
                <w:tcPr>
                  <w:tcW w:w="1596"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仪器</w:t>
                  </w:r>
                </w:p>
                <w:p>
                  <w:pPr>
                    <w:tabs>
                      <w:tab w:val="left" w:pos="3720"/>
                    </w:tabs>
                    <w:jc w:val="center"/>
                    <w:rPr>
                      <w:rFonts w:ascii="宋体"/>
                      <w:szCs w:val="21"/>
                    </w:rPr>
                  </w:pPr>
                  <w:r>
                    <w:rPr>
                      <w:rFonts w:hint="eastAsia" w:ascii="宋体" w:hAnsi="宋体"/>
                      <w:szCs w:val="21"/>
                    </w:rPr>
                    <w:t>型号</w:t>
                  </w:r>
                </w:p>
              </w:tc>
              <w:tc>
                <w:tcPr>
                  <w:tcW w:w="1582"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仪器编号</w:t>
                  </w:r>
                </w:p>
              </w:tc>
              <w:tc>
                <w:tcPr>
                  <w:tcW w:w="1685"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仪器校准</w:t>
                  </w:r>
                </w:p>
                <w:p>
                  <w:pPr>
                    <w:tabs>
                      <w:tab w:val="left" w:pos="3720"/>
                    </w:tabs>
                    <w:jc w:val="center"/>
                    <w:rPr>
                      <w:rFonts w:ascii="宋体"/>
                      <w:szCs w:val="21"/>
                    </w:rPr>
                  </w:pPr>
                  <w:r>
                    <w:rPr>
                      <w:rFonts w:hint="eastAsia" w:ascii="宋体" w:hAnsi="宋体"/>
                      <w:szCs w:val="21"/>
                    </w:rPr>
                    <w:t>证书编号</w:t>
                  </w:r>
                </w:p>
              </w:tc>
              <w:tc>
                <w:tcPr>
                  <w:tcW w:w="1267"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仪器校准单位</w:t>
                  </w:r>
                </w:p>
              </w:tc>
              <w:tc>
                <w:tcPr>
                  <w:tcW w:w="1252"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szCs w:val="21"/>
                    </w:rPr>
                    <w:t>校准日期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64" w:hRule="exact"/>
                <w:jc w:val="center"/>
              </w:trPr>
              <w:tc>
                <w:tcPr>
                  <w:tcW w:w="1380"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工频场强仪</w:t>
                  </w:r>
                </w:p>
              </w:tc>
              <w:tc>
                <w:tcPr>
                  <w:tcW w:w="1596"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ascii="宋体" w:hAnsi="宋体"/>
                      <w:szCs w:val="21"/>
                    </w:rPr>
                    <w:t>EFA-300</w:t>
                  </w:r>
                </w:p>
              </w:tc>
              <w:tc>
                <w:tcPr>
                  <w:tcW w:w="1582"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ascii="宋体" w:hAnsi="宋体"/>
                      <w:szCs w:val="21"/>
                    </w:rPr>
                    <w:t>JC0</w:t>
                  </w:r>
                  <w:r>
                    <w:rPr>
                      <w:rFonts w:hint="eastAsia" w:ascii="宋体" w:hAnsi="宋体"/>
                      <w:szCs w:val="21"/>
                    </w:rPr>
                    <w:t>3</w:t>
                  </w:r>
                  <w:r>
                    <w:rPr>
                      <w:rFonts w:ascii="宋体" w:hAnsi="宋体"/>
                      <w:szCs w:val="21"/>
                    </w:rPr>
                    <w:t>-0</w:t>
                  </w:r>
                  <w:r>
                    <w:rPr>
                      <w:rFonts w:hint="eastAsia" w:ascii="宋体" w:hAnsi="宋体"/>
                      <w:szCs w:val="21"/>
                    </w:rPr>
                    <w:t>2</w:t>
                  </w:r>
                  <w:r>
                    <w:rPr>
                      <w:rFonts w:ascii="宋体" w:hAnsi="宋体"/>
                      <w:szCs w:val="21"/>
                    </w:rPr>
                    <w:t>-2014</w:t>
                  </w:r>
                </w:p>
              </w:tc>
              <w:tc>
                <w:tcPr>
                  <w:tcW w:w="1685"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ascii="宋体" w:hAnsi="宋体"/>
                      <w:szCs w:val="21"/>
                    </w:rPr>
                    <w:t>DLcx2018-0272</w:t>
                  </w:r>
                </w:p>
              </w:tc>
              <w:tc>
                <w:tcPr>
                  <w:tcW w:w="1267"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中国计量科学研究院</w:t>
                  </w:r>
                </w:p>
              </w:tc>
              <w:tc>
                <w:tcPr>
                  <w:tcW w:w="1252"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ascii="宋体" w:hAnsi="宋体"/>
                      <w:szCs w:val="21"/>
                    </w:rPr>
                    <w:t>201</w:t>
                  </w:r>
                  <w:r>
                    <w:rPr>
                      <w:rFonts w:hint="eastAsia" w:ascii="宋体" w:hAnsi="宋体"/>
                      <w:szCs w:val="21"/>
                    </w:rPr>
                    <w:t>8</w:t>
                  </w:r>
                  <w:r>
                    <w:rPr>
                      <w:rFonts w:ascii="宋体" w:hAnsi="宋体"/>
                      <w:szCs w:val="21"/>
                    </w:rPr>
                    <w:t>.</w:t>
                  </w:r>
                  <w:r>
                    <w:rPr>
                      <w:rFonts w:hint="eastAsia" w:ascii="宋体" w:hAnsi="宋体"/>
                      <w:szCs w:val="21"/>
                    </w:rPr>
                    <w:t>3</w:t>
                  </w:r>
                  <w:r>
                    <w:rPr>
                      <w:rFonts w:ascii="宋体" w:hAnsi="宋体"/>
                      <w:szCs w:val="21"/>
                    </w:rPr>
                    <w:t>.</w:t>
                  </w:r>
                  <w:r>
                    <w:rPr>
                      <w:rFonts w:hint="eastAsia" w:ascii="宋体" w:hAnsi="宋体"/>
                      <w:szCs w:val="21"/>
                    </w:rPr>
                    <w:t>30</w:t>
                  </w:r>
                </w:p>
              </w:tc>
            </w:tr>
          </w:tbl>
          <w:p>
            <w:pPr>
              <w:pStyle w:val="5"/>
              <w:spacing w:line="360" w:lineRule="auto"/>
              <w:ind w:firstLine="480"/>
              <w:jc w:val="center"/>
              <w:rPr>
                <w:rFonts w:ascii="黑体" w:hAnsi="宋体" w:eastAsia="黑体"/>
                <w:snapToGrid w:val="0"/>
                <w:kern w:val="0"/>
                <w:szCs w:val="21"/>
              </w:rPr>
            </w:pPr>
            <w:r>
              <w:rPr>
                <w:rFonts w:hint="eastAsia" w:ascii="黑体" w:hAnsi="宋体" w:eastAsia="黑体"/>
                <w:snapToGrid w:val="0"/>
                <w:kern w:val="0"/>
                <w:szCs w:val="21"/>
              </w:rPr>
              <w:t>表</w:t>
            </w:r>
            <w:r>
              <w:rPr>
                <w:rFonts w:ascii="黑体" w:hAnsi="宋体" w:eastAsia="黑体"/>
                <w:snapToGrid w:val="0"/>
                <w:kern w:val="0"/>
                <w:szCs w:val="21"/>
              </w:rPr>
              <w:t xml:space="preserve">3-2  </w:t>
            </w:r>
            <w:r>
              <w:rPr>
                <w:rFonts w:hint="eastAsia" w:ascii="黑体" w:hAnsi="宋体" w:eastAsia="黑体"/>
                <w:snapToGrid w:val="0"/>
                <w:kern w:val="0"/>
                <w:szCs w:val="21"/>
              </w:rPr>
              <w:t>本次检测所用检测仪器性能参数</w:t>
            </w:r>
          </w:p>
          <w:tbl>
            <w:tblPr>
              <w:tblStyle w:val="22"/>
              <w:tblW w:w="929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13"/>
              <w:gridCol w:w="72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2013" w:type="dxa"/>
                  <w:tcBorders>
                    <w:top w:val="single" w:color="auto" w:sz="4" w:space="0"/>
                    <w:left w:val="single" w:color="auto" w:sz="4" w:space="0"/>
                    <w:bottom w:val="single" w:color="auto" w:sz="4" w:space="0"/>
                    <w:right w:val="single" w:color="auto" w:sz="4" w:space="0"/>
                  </w:tcBorders>
                  <w:vAlign w:val="center"/>
                </w:tcPr>
                <w:p>
                  <w:pPr>
                    <w:snapToGrid w:val="0"/>
                    <w:spacing w:line="360" w:lineRule="exact"/>
                    <w:jc w:val="center"/>
                    <w:rPr>
                      <w:rFonts w:ascii="宋体"/>
                      <w:szCs w:val="21"/>
                    </w:rPr>
                  </w:pPr>
                  <w:r>
                    <w:rPr>
                      <w:rFonts w:hint="eastAsia" w:ascii="宋体" w:hAnsi="宋体"/>
                      <w:szCs w:val="21"/>
                    </w:rPr>
                    <w:t>仪器名称</w:t>
                  </w:r>
                </w:p>
              </w:tc>
              <w:tc>
                <w:tcPr>
                  <w:tcW w:w="7281" w:type="dxa"/>
                  <w:tcBorders>
                    <w:top w:val="single" w:color="auto" w:sz="4" w:space="0"/>
                    <w:left w:val="single" w:color="auto" w:sz="4" w:space="0"/>
                    <w:bottom w:val="single" w:color="auto" w:sz="4" w:space="0"/>
                    <w:right w:val="single" w:color="auto" w:sz="4" w:space="0"/>
                  </w:tcBorders>
                  <w:vAlign w:val="center"/>
                </w:tcPr>
                <w:p>
                  <w:pPr>
                    <w:snapToGrid w:val="0"/>
                    <w:spacing w:line="360" w:lineRule="exact"/>
                    <w:jc w:val="center"/>
                    <w:rPr>
                      <w:rFonts w:ascii="宋体"/>
                      <w:b/>
                      <w:szCs w:val="21"/>
                    </w:rPr>
                  </w:pPr>
                  <w:r>
                    <w:rPr>
                      <w:rFonts w:hint="eastAsia" w:ascii="宋体" w:hAnsi="宋体"/>
                      <w:szCs w:val="21"/>
                    </w:rPr>
                    <w:t>性能参数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83" w:hRule="atLeast"/>
                <w:jc w:val="center"/>
              </w:trPr>
              <w:tc>
                <w:tcPr>
                  <w:tcW w:w="2013"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szCs w:val="21"/>
                    </w:rPr>
                  </w:pPr>
                  <w:r>
                    <w:rPr>
                      <w:rFonts w:hint="eastAsia" w:ascii="宋体" w:hAnsi="宋体"/>
                      <w:szCs w:val="21"/>
                    </w:rPr>
                    <w:t>工频场强仪</w:t>
                  </w:r>
                </w:p>
              </w:tc>
              <w:tc>
                <w:tcPr>
                  <w:tcW w:w="7281" w:type="dxa"/>
                  <w:tcBorders>
                    <w:top w:val="single" w:color="auto" w:sz="4" w:space="0"/>
                    <w:left w:val="single" w:color="auto" w:sz="4" w:space="0"/>
                    <w:bottom w:val="single" w:color="auto" w:sz="4" w:space="0"/>
                    <w:right w:val="single" w:color="auto" w:sz="4" w:space="0"/>
                  </w:tcBorders>
                  <w:vAlign w:val="center"/>
                </w:tcPr>
                <w:p>
                  <w:pPr>
                    <w:adjustRightInd w:val="0"/>
                    <w:snapToGrid w:val="0"/>
                    <w:ind w:left="105" w:leftChars="50"/>
                    <w:rPr>
                      <w:rFonts w:ascii="宋体" w:hAnsi="宋体"/>
                      <w:szCs w:val="21"/>
                    </w:rPr>
                  </w:pPr>
                  <w:r>
                    <w:rPr>
                      <w:rFonts w:hint="eastAsia" w:ascii="宋体" w:hAnsi="宋体"/>
                      <w:szCs w:val="21"/>
                    </w:rPr>
                    <w:t>频率范围：电场5Hz～32kHz；磁场5Hz～32kHz</w:t>
                  </w:r>
                </w:p>
                <w:p>
                  <w:pPr>
                    <w:adjustRightInd w:val="0"/>
                    <w:snapToGrid w:val="0"/>
                    <w:ind w:left="105" w:leftChars="50"/>
                    <w:rPr>
                      <w:rFonts w:ascii="宋体" w:hAnsi="宋体"/>
                      <w:szCs w:val="21"/>
                    </w:rPr>
                  </w:pPr>
                  <w:r>
                    <w:rPr>
                      <w:rFonts w:hint="eastAsia" w:ascii="宋体" w:hAnsi="宋体"/>
                      <w:szCs w:val="21"/>
                    </w:rPr>
                    <w:t>电场强度量程：0.14V/m～100kV/m；</w:t>
                  </w:r>
                </w:p>
                <w:p>
                  <w:pPr>
                    <w:adjustRightInd w:val="0"/>
                    <w:snapToGrid w:val="0"/>
                    <w:ind w:left="105" w:leftChars="50"/>
                    <w:rPr>
                      <w:rFonts w:ascii="宋体" w:hAnsi="宋体"/>
                      <w:szCs w:val="21"/>
                    </w:rPr>
                  </w:pPr>
                  <w:r>
                    <w:rPr>
                      <w:rFonts w:hint="eastAsia" w:ascii="宋体" w:hAnsi="宋体"/>
                      <w:szCs w:val="21"/>
                    </w:rPr>
                    <w:t>磁场强度量程：25nT～31.6mT(内置磁场探头)，</w:t>
                  </w:r>
                </w:p>
                <w:p>
                  <w:pPr>
                    <w:adjustRightInd w:val="0"/>
                    <w:snapToGrid w:val="0"/>
                    <w:ind w:left="105" w:leftChars="50" w:firstLine="1470" w:firstLineChars="700"/>
                    <w:rPr>
                      <w:rFonts w:ascii="宋体" w:hAnsi="宋体"/>
                      <w:szCs w:val="21"/>
                    </w:rPr>
                  </w:pPr>
                  <w:r>
                    <w:rPr>
                      <w:rFonts w:hint="eastAsia" w:ascii="宋体" w:hAnsi="宋体"/>
                      <w:szCs w:val="21"/>
                    </w:rPr>
                    <w:t xml:space="preserve"> 0.8nT～31.6mT(磁场探头A)，</w:t>
                  </w:r>
                </w:p>
                <w:p>
                  <w:pPr>
                    <w:adjustRightInd w:val="0"/>
                    <w:snapToGrid w:val="0"/>
                    <w:ind w:left="105" w:leftChars="50" w:firstLine="1470" w:firstLineChars="700"/>
                    <w:rPr>
                      <w:rFonts w:ascii="宋体" w:hAnsi="宋体"/>
                      <w:szCs w:val="21"/>
                    </w:rPr>
                  </w:pPr>
                  <w:r>
                    <w:rPr>
                      <w:rFonts w:hint="eastAsia" w:ascii="宋体" w:hAnsi="宋体"/>
                      <w:szCs w:val="21"/>
                    </w:rPr>
                    <w:t>5nT～31.6mT(磁场探头D)；</w:t>
                  </w:r>
                </w:p>
                <w:p>
                  <w:pPr>
                    <w:adjustRightInd w:val="0"/>
                    <w:snapToGrid w:val="0"/>
                    <w:ind w:left="105" w:leftChars="50"/>
                    <w:rPr>
                      <w:rFonts w:ascii="宋体" w:hAnsi="宋体"/>
                      <w:szCs w:val="21"/>
                    </w:rPr>
                  </w:pPr>
                  <w:r>
                    <w:rPr>
                      <w:rFonts w:hint="eastAsia" w:ascii="宋体" w:hAnsi="宋体"/>
                      <w:szCs w:val="21"/>
                    </w:rPr>
                    <w:t>灵敏度：电场0.14V/m，磁场0.8nT；</w:t>
                  </w:r>
                </w:p>
                <w:p>
                  <w:pPr>
                    <w:adjustRightInd w:val="0"/>
                    <w:snapToGrid w:val="0"/>
                    <w:ind w:left="105" w:leftChars="50"/>
                    <w:rPr>
                      <w:rFonts w:ascii="宋体" w:hAnsi="宋体"/>
                      <w:szCs w:val="21"/>
                    </w:rPr>
                  </w:pPr>
                  <w:r>
                    <w:rPr>
                      <w:rFonts w:hint="eastAsia" w:ascii="宋体" w:hAnsi="宋体"/>
                      <w:szCs w:val="21"/>
                    </w:rPr>
                    <w:t>分辨率：电场0.01V/m，磁场0.01nT；</w:t>
                  </w:r>
                </w:p>
                <w:p>
                  <w:pPr>
                    <w:adjustRightInd w:val="0"/>
                    <w:snapToGrid w:val="0"/>
                    <w:ind w:left="105" w:leftChars="50"/>
                    <w:rPr>
                      <w:rFonts w:ascii="宋体"/>
                      <w:szCs w:val="21"/>
                    </w:rPr>
                  </w:pPr>
                  <w:r>
                    <w:rPr>
                      <w:rFonts w:hint="eastAsia" w:ascii="宋体" w:hAnsi="宋体"/>
                      <w:szCs w:val="21"/>
                    </w:rPr>
                    <w:t>使用条件：环境温度 -10℃～50℃，相对湿度≤70%。</w:t>
                  </w:r>
                </w:p>
              </w:tc>
            </w:tr>
          </w:tbl>
          <w:p>
            <w:pPr>
              <w:pStyle w:val="18"/>
              <w:spacing w:after="0" w:line="360" w:lineRule="auto"/>
              <w:rPr>
                <w:rFonts w:ascii="黑体" w:hAnsi="宋体" w:eastAsia="黑体"/>
                <w:snapToGrid w:val="0"/>
                <w:kern w:val="0"/>
                <w:szCs w:val="28"/>
              </w:rPr>
            </w:pPr>
            <w:r>
              <w:rPr>
                <w:rFonts w:ascii="黑体" w:hAnsi="宋体" w:eastAsia="黑体"/>
                <w:snapToGrid w:val="0"/>
                <w:kern w:val="0"/>
                <w:szCs w:val="28"/>
              </w:rPr>
              <w:t xml:space="preserve">3.2 </w:t>
            </w:r>
            <w:r>
              <w:rPr>
                <w:rFonts w:hint="eastAsia" w:ascii="黑体" w:hAnsi="宋体" w:eastAsia="黑体"/>
                <w:snapToGrid w:val="0"/>
                <w:kern w:val="0"/>
                <w:szCs w:val="28"/>
              </w:rPr>
              <w:t>检测方法</w:t>
            </w:r>
          </w:p>
          <w:p>
            <w:pPr>
              <w:pStyle w:val="5"/>
              <w:spacing w:line="360" w:lineRule="auto"/>
              <w:ind w:firstLine="480"/>
              <w:rPr>
                <w:rFonts w:hAnsi="宋体"/>
                <w:snapToGrid w:val="0"/>
                <w:kern w:val="0"/>
                <w:szCs w:val="24"/>
              </w:rPr>
            </w:pPr>
            <w:r>
              <w:rPr>
                <w:rFonts w:hint="eastAsia" w:hAnsi="宋体"/>
                <w:snapToGrid w:val="0"/>
                <w:kern w:val="0"/>
              </w:rPr>
              <w:t>工频电场、工频磁场</w:t>
            </w:r>
            <w:r>
              <w:rPr>
                <w:rFonts w:hint="eastAsia" w:hAnsi="宋体"/>
                <w:snapToGrid w:val="0"/>
                <w:kern w:val="0"/>
                <w:szCs w:val="24"/>
              </w:rPr>
              <w:t>的检测方法见表</w:t>
            </w:r>
            <w:r>
              <w:rPr>
                <w:snapToGrid w:val="0"/>
                <w:kern w:val="0"/>
                <w:szCs w:val="24"/>
              </w:rPr>
              <w:t>3-</w:t>
            </w:r>
            <w:r>
              <w:rPr>
                <w:rFonts w:hint="eastAsia"/>
                <w:snapToGrid w:val="0"/>
                <w:kern w:val="0"/>
                <w:szCs w:val="24"/>
              </w:rPr>
              <w:t>3</w:t>
            </w:r>
            <w:r>
              <w:rPr>
                <w:rFonts w:hint="eastAsia" w:hAnsi="宋体"/>
                <w:snapToGrid w:val="0"/>
                <w:kern w:val="0"/>
                <w:szCs w:val="24"/>
              </w:rPr>
              <w:t>。</w:t>
            </w:r>
          </w:p>
          <w:p>
            <w:pPr>
              <w:pStyle w:val="5"/>
              <w:spacing w:before="156" w:beforeLines="50" w:line="360" w:lineRule="auto"/>
              <w:ind w:firstLine="0" w:firstLineChars="0"/>
              <w:jc w:val="center"/>
              <w:rPr>
                <w:rFonts w:ascii="黑体" w:eastAsia="黑体"/>
                <w:snapToGrid w:val="0"/>
                <w:kern w:val="0"/>
                <w:szCs w:val="21"/>
              </w:rPr>
            </w:pPr>
            <w:r>
              <w:rPr>
                <w:rFonts w:hint="eastAsia" w:ascii="黑体" w:hAnsi="宋体" w:eastAsia="黑体"/>
                <w:snapToGrid w:val="0"/>
                <w:kern w:val="0"/>
                <w:szCs w:val="21"/>
              </w:rPr>
              <w:t>表</w:t>
            </w:r>
            <w:r>
              <w:rPr>
                <w:rFonts w:ascii="黑体" w:eastAsia="黑体"/>
                <w:snapToGrid w:val="0"/>
                <w:kern w:val="0"/>
                <w:szCs w:val="21"/>
              </w:rPr>
              <w:t>3-</w:t>
            </w:r>
            <w:r>
              <w:rPr>
                <w:rFonts w:hint="eastAsia" w:ascii="黑体" w:eastAsia="黑体"/>
                <w:snapToGrid w:val="0"/>
                <w:kern w:val="0"/>
                <w:szCs w:val="21"/>
              </w:rPr>
              <w:t>3</w:t>
            </w:r>
            <w:r>
              <w:rPr>
                <w:rFonts w:ascii="黑体" w:eastAsia="黑体"/>
                <w:snapToGrid w:val="0"/>
                <w:kern w:val="0"/>
                <w:szCs w:val="21"/>
              </w:rPr>
              <w:t xml:space="preserve">  </w:t>
            </w:r>
            <w:r>
              <w:rPr>
                <w:rFonts w:hint="eastAsia" w:ascii="黑体" w:hAnsi="宋体" w:eastAsia="黑体"/>
                <w:snapToGrid w:val="0"/>
                <w:kern w:val="0"/>
                <w:szCs w:val="21"/>
              </w:rPr>
              <w:t>检测方法</w:t>
            </w:r>
          </w:p>
          <w:tbl>
            <w:tblPr>
              <w:tblStyle w:val="22"/>
              <w:tblW w:w="929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4"/>
              <w:gridCol w:w="68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9" w:hRule="atLeast"/>
                <w:jc w:val="center"/>
              </w:trPr>
              <w:tc>
                <w:tcPr>
                  <w:tcW w:w="2474" w:type="dxa"/>
                  <w:tcBorders>
                    <w:top w:val="single" w:color="auto" w:sz="4" w:space="0"/>
                    <w:left w:val="single" w:color="auto" w:sz="4" w:space="0"/>
                    <w:bottom w:val="single" w:color="auto" w:sz="4" w:space="0"/>
                    <w:right w:val="single" w:color="auto" w:sz="4" w:space="0"/>
                  </w:tcBorders>
                  <w:vAlign w:val="center"/>
                </w:tcPr>
                <w:p>
                  <w:pPr>
                    <w:pStyle w:val="5"/>
                    <w:adjustRightInd w:val="0"/>
                    <w:spacing w:line="360" w:lineRule="exact"/>
                    <w:ind w:firstLine="0" w:firstLineChars="0"/>
                    <w:jc w:val="center"/>
                    <w:textAlignment w:val="baseline"/>
                    <w:rPr>
                      <w:rFonts w:hAnsi="宋体"/>
                      <w:snapToGrid w:val="0"/>
                      <w:spacing w:val="10"/>
                      <w:kern w:val="0"/>
                      <w:sz w:val="21"/>
                      <w:szCs w:val="21"/>
                    </w:rPr>
                  </w:pPr>
                  <w:r>
                    <w:rPr>
                      <w:rFonts w:hint="eastAsia" w:hAnsi="宋体"/>
                      <w:snapToGrid w:val="0"/>
                      <w:spacing w:val="10"/>
                      <w:kern w:val="0"/>
                      <w:sz w:val="21"/>
                      <w:szCs w:val="21"/>
                    </w:rPr>
                    <w:t>项目</w:t>
                  </w:r>
                </w:p>
              </w:tc>
              <w:tc>
                <w:tcPr>
                  <w:tcW w:w="6820" w:type="dxa"/>
                  <w:tcBorders>
                    <w:top w:val="single" w:color="auto" w:sz="4" w:space="0"/>
                    <w:left w:val="single" w:color="auto" w:sz="4" w:space="0"/>
                    <w:bottom w:val="single" w:color="auto" w:sz="4" w:space="0"/>
                    <w:right w:val="single" w:color="auto" w:sz="4" w:space="0"/>
                  </w:tcBorders>
                  <w:vAlign w:val="center"/>
                </w:tcPr>
                <w:p>
                  <w:pPr>
                    <w:pStyle w:val="5"/>
                    <w:adjustRightInd w:val="0"/>
                    <w:spacing w:line="360" w:lineRule="exact"/>
                    <w:ind w:firstLine="460"/>
                    <w:jc w:val="center"/>
                    <w:textAlignment w:val="baseline"/>
                    <w:rPr>
                      <w:rFonts w:hAnsi="宋体"/>
                      <w:snapToGrid w:val="0"/>
                      <w:spacing w:val="10"/>
                      <w:kern w:val="0"/>
                      <w:sz w:val="21"/>
                      <w:szCs w:val="21"/>
                    </w:rPr>
                  </w:pPr>
                  <w:r>
                    <w:rPr>
                      <w:rFonts w:hint="eastAsia" w:hAnsi="宋体"/>
                      <w:snapToGrid w:val="0"/>
                      <w:spacing w:val="10"/>
                      <w:kern w:val="0"/>
                      <w:sz w:val="21"/>
                      <w:szCs w:val="21"/>
                    </w:rPr>
                    <w:t>检测方法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23" w:hRule="atLeast"/>
                <w:jc w:val="center"/>
              </w:trPr>
              <w:tc>
                <w:tcPr>
                  <w:tcW w:w="2474" w:type="dxa"/>
                  <w:tcBorders>
                    <w:top w:val="single" w:color="auto" w:sz="4" w:space="0"/>
                    <w:left w:val="single" w:color="auto" w:sz="4" w:space="0"/>
                    <w:bottom w:val="single" w:color="auto" w:sz="4" w:space="0"/>
                    <w:right w:val="single" w:color="auto" w:sz="4" w:space="0"/>
                  </w:tcBorders>
                  <w:vAlign w:val="center"/>
                </w:tcPr>
                <w:p>
                  <w:pPr>
                    <w:pStyle w:val="5"/>
                    <w:adjustRightInd w:val="0"/>
                    <w:spacing w:line="360" w:lineRule="exact"/>
                    <w:ind w:firstLine="0" w:firstLineChars="0"/>
                    <w:jc w:val="center"/>
                    <w:textAlignment w:val="baseline"/>
                    <w:rPr>
                      <w:rFonts w:hAnsi="宋体"/>
                      <w:snapToGrid w:val="0"/>
                      <w:spacing w:val="10"/>
                      <w:kern w:val="0"/>
                      <w:sz w:val="21"/>
                      <w:szCs w:val="21"/>
                    </w:rPr>
                  </w:pPr>
                  <w:r>
                    <w:rPr>
                      <w:rFonts w:hint="eastAsia" w:hAnsi="宋体"/>
                      <w:snapToGrid w:val="0"/>
                      <w:spacing w:val="10"/>
                      <w:kern w:val="0"/>
                      <w:sz w:val="21"/>
                      <w:szCs w:val="21"/>
                    </w:rPr>
                    <w:t>工频电场、工频磁场</w:t>
                  </w:r>
                </w:p>
              </w:tc>
              <w:tc>
                <w:tcPr>
                  <w:tcW w:w="6820" w:type="dxa"/>
                  <w:tcBorders>
                    <w:top w:val="single" w:color="auto" w:sz="4" w:space="0"/>
                    <w:left w:val="single" w:color="auto" w:sz="4" w:space="0"/>
                    <w:bottom w:val="single" w:color="auto" w:sz="4" w:space="0"/>
                    <w:right w:val="single" w:color="auto" w:sz="4" w:space="0"/>
                  </w:tcBorders>
                  <w:vAlign w:val="center"/>
                </w:tcPr>
                <w:p>
                  <w:pPr>
                    <w:pStyle w:val="10"/>
                    <w:adjustRightInd w:val="0"/>
                    <w:snapToGrid w:val="0"/>
                    <w:rPr>
                      <w:rFonts w:hAnsi="宋体"/>
                      <w:snapToGrid w:val="0"/>
                      <w:spacing w:val="10"/>
                      <w:kern w:val="0"/>
                      <w:szCs w:val="21"/>
                    </w:rPr>
                  </w:pPr>
                  <w:r>
                    <w:rPr>
                      <w:rFonts w:hint="eastAsia" w:hAnsi="宋体"/>
                      <w:snapToGrid w:val="0"/>
                      <w:spacing w:val="10"/>
                      <w:kern w:val="0"/>
                      <w:szCs w:val="21"/>
                    </w:rPr>
                    <w:t>《环境影响评价技术导则</w:t>
                  </w:r>
                  <w:r>
                    <w:rPr>
                      <w:rFonts w:hAnsi="宋体"/>
                      <w:snapToGrid w:val="0"/>
                      <w:spacing w:val="10"/>
                      <w:kern w:val="0"/>
                      <w:szCs w:val="21"/>
                    </w:rPr>
                    <w:t xml:space="preserve"> </w:t>
                  </w:r>
                  <w:r>
                    <w:rPr>
                      <w:rFonts w:hint="eastAsia" w:hAnsi="宋体"/>
                      <w:snapToGrid w:val="0"/>
                      <w:spacing w:val="10"/>
                      <w:kern w:val="0"/>
                      <w:szCs w:val="21"/>
                    </w:rPr>
                    <w:t>输变电工程》（</w:t>
                  </w:r>
                  <w:r>
                    <w:rPr>
                      <w:rFonts w:hAnsi="宋体"/>
                      <w:snapToGrid w:val="0"/>
                      <w:spacing w:val="10"/>
                      <w:kern w:val="0"/>
                      <w:szCs w:val="21"/>
                    </w:rPr>
                    <w:t>HJ24-2014</w:t>
                  </w:r>
                  <w:r>
                    <w:rPr>
                      <w:rFonts w:hint="eastAsia" w:hAnsi="宋体"/>
                      <w:snapToGrid w:val="0"/>
                      <w:spacing w:val="10"/>
                      <w:kern w:val="0"/>
                      <w:szCs w:val="21"/>
                    </w:rPr>
                    <w:t>）；</w:t>
                  </w:r>
                </w:p>
                <w:p>
                  <w:pPr>
                    <w:pStyle w:val="10"/>
                    <w:adjustRightInd w:val="0"/>
                    <w:snapToGrid w:val="0"/>
                    <w:rPr>
                      <w:rFonts w:hAnsi="宋体"/>
                      <w:snapToGrid w:val="0"/>
                      <w:spacing w:val="10"/>
                      <w:kern w:val="0"/>
                      <w:szCs w:val="21"/>
                    </w:rPr>
                  </w:pPr>
                  <w:r>
                    <w:rPr>
                      <w:rFonts w:hint="eastAsia" w:hAnsi="宋体"/>
                      <w:snapToGrid w:val="0"/>
                      <w:spacing w:val="10"/>
                      <w:kern w:val="0"/>
                      <w:szCs w:val="21"/>
                    </w:rPr>
                    <w:t>《工频电场测量》（GB/T12720-1991）；</w:t>
                  </w:r>
                </w:p>
                <w:p>
                  <w:pPr>
                    <w:pStyle w:val="10"/>
                    <w:adjustRightInd w:val="0"/>
                    <w:snapToGrid w:val="0"/>
                    <w:rPr>
                      <w:rFonts w:hAnsi="宋体"/>
                      <w:snapToGrid w:val="0"/>
                      <w:spacing w:val="10"/>
                      <w:kern w:val="0"/>
                      <w:szCs w:val="21"/>
                    </w:rPr>
                  </w:pPr>
                  <w:r>
                    <w:rPr>
                      <w:rFonts w:hint="eastAsia" w:hAnsi="宋体"/>
                      <w:snapToGrid w:val="0"/>
                      <w:spacing w:val="10"/>
                      <w:kern w:val="0"/>
                      <w:szCs w:val="21"/>
                    </w:rPr>
                    <w:t>《交流输变电工程电磁环境监测方法（试行）》（</w:t>
                  </w:r>
                  <w:r>
                    <w:rPr>
                      <w:rFonts w:hAnsi="宋体"/>
                      <w:snapToGrid w:val="0"/>
                      <w:spacing w:val="10"/>
                      <w:kern w:val="0"/>
                      <w:szCs w:val="21"/>
                    </w:rPr>
                    <w:t>HJ681-2013</w:t>
                  </w:r>
                  <w:r>
                    <w:rPr>
                      <w:rFonts w:hint="eastAsia" w:hAnsi="宋体"/>
                      <w:snapToGrid w:val="0"/>
                      <w:spacing w:val="10"/>
                      <w:kern w:val="0"/>
                      <w:szCs w:val="21"/>
                    </w:rPr>
                    <w:t>）；</w:t>
                  </w:r>
                </w:p>
                <w:p>
                  <w:pPr>
                    <w:pStyle w:val="5"/>
                    <w:adjustRightInd w:val="0"/>
                    <w:ind w:firstLine="0" w:firstLineChars="0"/>
                    <w:textAlignment w:val="baseline"/>
                    <w:rPr>
                      <w:rFonts w:hAnsi="宋体"/>
                      <w:snapToGrid w:val="0"/>
                      <w:spacing w:val="10"/>
                      <w:kern w:val="0"/>
                      <w:sz w:val="21"/>
                      <w:szCs w:val="21"/>
                    </w:rPr>
                  </w:pPr>
                  <w:r>
                    <w:rPr>
                      <w:rFonts w:hint="eastAsia" w:hAnsi="宋体"/>
                      <w:snapToGrid w:val="0"/>
                      <w:spacing w:val="10"/>
                      <w:kern w:val="0"/>
                      <w:sz w:val="21"/>
                      <w:szCs w:val="21"/>
                    </w:rPr>
                    <w:t>《高压交流架空送电线路、变电站工频电场和磁场测量方法》（</w:t>
                  </w:r>
                  <w:r>
                    <w:rPr>
                      <w:rFonts w:hAnsi="宋体"/>
                      <w:snapToGrid w:val="0"/>
                      <w:spacing w:val="10"/>
                      <w:kern w:val="0"/>
                      <w:sz w:val="21"/>
                      <w:szCs w:val="21"/>
                    </w:rPr>
                    <w:t>DL/T988-2005</w:t>
                  </w:r>
                  <w:r>
                    <w:rPr>
                      <w:rFonts w:hint="eastAsia" w:hAnsi="宋体"/>
                      <w:snapToGrid w:val="0"/>
                      <w:spacing w:val="10"/>
                      <w:kern w:val="0"/>
                      <w:sz w:val="21"/>
                      <w:szCs w:val="21"/>
                    </w:rPr>
                    <w:t>）</w:t>
                  </w:r>
                </w:p>
              </w:tc>
            </w:tr>
          </w:tbl>
          <w:p>
            <w:pPr>
              <w:pStyle w:val="18"/>
              <w:spacing w:after="0" w:line="360" w:lineRule="auto"/>
              <w:rPr>
                <w:rFonts w:ascii="黑体" w:hAnsi="宋体" w:eastAsia="黑体"/>
                <w:snapToGrid w:val="0"/>
                <w:kern w:val="0"/>
                <w:szCs w:val="28"/>
              </w:rPr>
            </w:pPr>
            <w:r>
              <w:rPr>
                <w:rFonts w:ascii="黑体" w:hAnsi="宋体" w:eastAsia="黑体"/>
                <w:snapToGrid w:val="0"/>
                <w:kern w:val="0"/>
                <w:szCs w:val="28"/>
              </w:rPr>
              <w:t>3.3</w:t>
            </w:r>
            <w:r>
              <w:rPr>
                <w:rFonts w:hint="eastAsia" w:ascii="黑体" w:hAnsi="宋体" w:eastAsia="黑体"/>
                <w:snapToGrid w:val="0"/>
                <w:kern w:val="0"/>
                <w:szCs w:val="28"/>
              </w:rPr>
              <w:t>检测布点及气象条件</w:t>
            </w:r>
          </w:p>
          <w:p>
            <w:pPr>
              <w:adjustRightInd w:val="0"/>
              <w:spacing w:line="360" w:lineRule="auto"/>
              <w:ind w:firstLine="477" w:firstLineChars="199"/>
              <w:rPr>
                <w:rFonts w:ascii="宋体"/>
                <w:snapToGrid w:val="0"/>
                <w:kern w:val="0"/>
                <w:sz w:val="24"/>
              </w:rPr>
            </w:pPr>
            <w:r>
              <w:rPr>
                <w:rFonts w:hint="eastAsia" w:ascii="宋体" w:hAnsi="宋体"/>
                <w:snapToGrid w:val="0"/>
                <w:kern w:val="0"/>
                <w:sz w:val="24"/>
              </w:rPr>
              <w:t>工频电场、工频磁场与噪声检测时间：</w:t>
            </w:r>
            <w:r>
              <w:rPr>
                <w:rFonts w:ascii="宋体" w:hAnsi="宋体"/>
                <w:snapToGrid w:val="0"/>
                <w:kern w:val="0"/>
                <w:sz w:val="24"/>
              </w:rPr>
              <w:t>201</w:t>
            </w:r>
            <w:r>
              <w:rPr>
                <w:rFonts w:hint="eastAsia" w:ascii="宋体" w:hAnsi="宋体"/>
                <w:snapToGrid w:val="0"/>
                <w:kern w:val="0"/>
                <w:sz w:val="24"/>
              </w:rPr>
              <w:t>9年</w:t>
            </w:r>
            <w:r>
              <w:rPr>
                <w:rFonts w:hint="eastAsia" w:ascii="宋体" w:hAnsi="宋体"/>
                <w:snapToGrid w:val="0"/>
                <w:kern w:val="0"/>
                <w:sz w:val="24"/>
                <w:lang w:val="en-US" w:eastAsia="zh-CN"/>
              </w:rPr>
              <w:t>2月20日</w:t>
            </w:r>
            <w:r>
              <w:rPr>
                <w:rFonts w:hint="eastAsia" w:ascii="宋体" w:hAnsi="宋体"/>
                <w:snapToGrid w:val="0"/>
                <w:kern w:val="0"/>
                <w:sz w:val="24"/>
              </w:rPr>
              <w:t>9:00～10:30。</w:t>
            </w:r>
          </w:p>
          <w:p>
            <w:pPr>
              <w:adjustRightInd w:val="0"/>
              <w:spacing w:line="360" w:lineRule="auto"/>
              <w:ind w:firstLine="480" w:firstLineChars="200"/>
              <w:rPr>
                <w:rFonts w:ascii="宋体"/>
                <w:snapToGrid w:val="0"/>
                <w:kern w:val="0"/>
                <w:sz w:val="24"/>
              </w:rPr>
            </w:pPr>
            <w:r>
              <w:rPr>
                <w:rFonts w:hint="eastAsia" w:ascii="宋体" w:hAnsi="宋体"/>
                <w:snapToGrid w:val="0"/>
                <w:kern w:val="0"/>
                <w:sz w:val="24"/>
              </w:rPr>
              <w:t>天气：</w:t>
            </w:r>
            <w:r>
              <w:rPr>
                <w:rFonts w:hint="eastAsia" w:ascii="宋体" w:hAnsi="宋体"/>
                <w:snapToGrid w:val="0"/>
                <w:kern w:val="0"/>
                <w:sz w:val="24"/>
                <w:lang w:val="en-US" w:eastAsia="zh-CN"/>
              </w:rPr>
              <w:t>晴</w:t>
            </w:r>
            <w:r>
              <w:rPr>
                <w:rFonts w:hint="eastAsia" w:ascii="宋体" w:hAnsi="宋体"/>
                <w:snapToGrid w:val="0"/>
                <w:kern w:val="0"/>
                <w:sz w:val="24"/>
              </w:rPr>
              <w:t>，温度：2-</w:t>
            </w:r>
            <w:r>
              <w:rPr>
                <w:rFonts w:hint="eastAsia" w:ascii="宋体" w:hAnsi="宋体"/>
                <w:snapToGrid w:val="0"/>
                <w:kern w:val="0"/>
                <w:sz w:val="24"/>
                <w:lang w:val="en-US" w:eastAsia="zh-CN"/>
              </w:rPr>
              <w:t>3</w:t>
            </w:r>
            <w:r>
              <w:rPr>
                <w:rFonts w:hint="eastAsia" w:ascii="宋体" w:hAnsi="宋体"/>
                <w:snapToGrid w:val="0"/>
                <w:kern w:val="0"/>
                <w:sz w:val="24"/>
              </w:rPr>
              <w:t>℃，相对湿度：5</w:t>
            </w:r>
            <w:r>
              <w:rPr>
                <w:rFonts w:hint="eastAsia" w:ascii="宋体" w:hAnsi="宋体"/>
                <w:snapToGrid w:val="0"/>
                <w:kern w:val="0"/>
                <w:sz w:val="24"/>
                <w:lang w:val="en-US" w:eastAsia="zh-CN"/>
              </w:rPr>
              <w:t>1</w:t>
            </w:r>
            <w:r>
              <w:rPr>
                <w:rFonts w:hint="eastAsia" w:ascii="宋体" w:hAnsi="宋体"/>
                <w:snapToGrid w:val="0"/>
                <w:kern w:val="0"/>
                <w:sz w:val="24"/>
              </w:rPr>
              <w:t>-</w:t>
            </w:r>
            <w:r>
              <w:rPr>
                <w:rFonts w:hint="eastAsia" w:ascii="宋体" w:hAnsi="宋体"/>
                <w:snapToGrid w:val="0"/>
                <w:kern w:val="0"/>
                <w:sz w:val="24"/>
                <w:lang w:val="en-US" w:eastAsia="zh-CN"/>
              </w:rPr>
              <w:t>55</w:t>
            </w:r>
            <w:r>
              <w:rPr>
                <w:rFonts w:ascii="宋体" w:hAnsi="宋体"/>
                <w:snapToGrid w:val="0"/>
                <w:kern w:val="0"/>
                <w:sz w:val="24"/>
              </w:rPr>
              <w:t>%</w:t>
            </w:r>
            <w:r>
              <w:rPr>
                <w:rFonts w:hint="eastAsia" w:ascii="宋体" w:hAnsi="宋体"/>
                <w:snapToGrid w:val="0"/>
                <w:kern w:val="0"/>
                <w:sz w:val="24"/>
              </w:rPr>
              <w:t>，风速：2.</w:t>
            </w:r>
            <w:r>
              <w:rPr>
                <w:rFonts w:hint="eastAsia" w:ascii="宋体" w:hAnsi="宋体"/>
                <w:snapToGrid w:val="0"/>
                <w:kern w:val="0"/>
                <w:sz w:val="24"/>
                <w:lang w:val="en-US" w:eastAsia="zh-CN"/>
              </w:rPr>
              <w:t>3</w:t>
            </w:r>
            <w:r>
              <w:rPr>
                <w:rFonts w:hint="eastAsia" w:ascii="宋体" w:hAnsi="宋体"/>
                <w:snapToGrid w:val="0"/>
                <w:kern w:val="0"/>
                <w:sz w:val="24"/>
              </w:rPr>
              <w:t>-2.</w:t>
            </w:r>
            <w:r>
              <w:rPr>
                <w:rFonts w:hint="eastAsia" w:ascii="宋体" w:hAnsi="宋体"/>
                <w:snapToGrid w:val="0"/>
                <w:kern w:val="0"/>
                <w:sz w:val="24"/>
                <w:lang w:val="en-US" w:eastAsia="zh-CN"/>
              </w:rPr>
              <w:t>5</w:t>
            </w:r>
            <w:r>
              <w:rPr>
                <w:rFonts w:ascii="宋体" w:hAnsi="宋体"/>
                <w:snapToGrid w:val="0"/>
                <w:kern w:val="0"/>
                <w:sz w:val="24"/>
              </w:rPr>
              <w:t>m/s</w:t>
            </w:r>
            <w:r>
              <w:rPr>
                <w:rFonts w:hint="eastAsia" w:ascii="宋体" w:hAnsi="宋体"/>
                <w:snapToGrid w:val="0"/>
                <w:kern w:val="0"/>
                <w:sz w:val="24"/>
              </w:rPr>
              <w:t>。</w:t>
            </w:r>
          </w:p>
          <w:p>
            <w:pPr>
              <w:tabs>
                <w:tab w:val="left" w:pos="6226"/>
              </w:tabs>
              <w:adjustRightInd w:val="0"/>
              <w:spacing w:line="360" w:lineRule="auto"/>
              <w:ind w:firstLine="480" w:firstLineChars="200"/>
              <w:rPr>
                <w:rFonts w:ascii="宋体"/>
                <w:snapToGrid w:val="0"/>
                <w:kern w:val="0"/>
                <w:sz w:val="24"/>
              </w:rPr>
            </w:pPr>
            <w:r>
              <w:rPr>
                <w:rFonts w:hint="eastAsia" w:ascii="宋体" w:hAnsi="宋体"/>
                <w:snapToGrid w:val="0"/>
                <w:kern w:val="0"/>
                <w:sz w:val="24"/>
              </w:rPr>
              <w:t>本工程检测布点及检测项目详见表</w:t>
            </w:r>
            <w:r>
              <w:rPr>
                <w:rFonts w:ascii="宋体" w:hAnsi="宋体"/>
                <w:snapToGrid w:val="0"/>
                <w:kern w:val="0"/>
                <w:sz w:val="24"/>
              </w:rPr>
              <w:t>3-</w:t>
            </w:r>
            <w:r>
              <w:rPr>
                <w:rFonts w:hint="eastAsia" w:ascii="宋体" w:hAnsi="宋体"/>
                <w:snapToGrid w:val="0"/>
                <w:kern w:val="0"/>
                <w:sz w:val="24"/>
              </w:rPr>
              <w:t>4。检测时运行工况见表3-5。</w:t>
            </w:r>
            <w:r>
              <w:rPr>
                <w:rFonts w:ascii="宋体" w:hAnsi="宋体"/>
                <w:snapToGrid w:val="0"/>
                <w:kern w:val="0"/>
                <w:sz w:val="24"/>
              </w:rPr>
              <w:tab/>
            </w:r>
          </w:p>
          <w:p>
            <w:pPr>
              <w:pStyle w:val="5"/>
              <w:spacing w:line="360" w:lineRule="auto"/>
              <w:ind w:firstLine="0" w:firstLineChars="0"/>
              <w:jc w:val="center"/>
              <w:rPr>
                <w:rFonts w:ascii="黑体" w:hAnsi="宋体" w:eastAsia="黑体"/>
                <w:snapToGrid w:val="0"/>
                <w:kern w:val="0"/>
                <w:szCs w:val="21"/>
              </w:rPr>
            </w:pPr>
            <w:r>
              <w:rPr>
                <w:rFonts w:hint="eastAsia" w:ascii="黑体" w:hAnsi="宋体" w:eastAsia="黑体"/>
                <w:snapToGrid w:val="0"/>
                <w:kern w:val="0"/>
                <w:szCs w:val="21"/>
              </w:rPr>
              <w:t>表</w:t>
            </w:r>
            <w:r>
              <w:rPr>
                <w:rFonts w:ascii="黑体" w:hAnsi="宋体" w:eastAsia="黑体"/>
                <w:snapToGrid w:val="0"/>
                <w:kern w:val="0"/>
                <w:szCs w:val="21"/>
              </w:rPr>
              <w:t>3-</w:t>
            </w:r>
            <w:r>
              <w:rPr>
                <w:rFonts w:hint="eastAsia" w:ascii="黑体" w:hAnsi="宋体" w:eastAsia="黑体"/>
                <w:snapToGrid w:val="0"/>
                <w:kern w:val="0"/>
                <w:szCs w:val="21"/>
              </w:rPr>
              <w:t>4</w:t>
            </w:r>
            <w:r>
              <w:rPr>
                <w:rFonts w:ascii="黑体" w:hAnsi="宋体" w:eastAsia="黑体"/>
                <w:snapToGrid w:val="0"/>
                <w:kern w:val="0"/>
                <w:szCs w:val="21"/>
              </w:rPr>
              <w:t xml:space="preserve">  </w:t>
            </w:r>
            <w:r>
              <w:rPr>
                <w:rFonts w:hint="eastAsia" w:ascii="黑体" w:eastAsia="黑体"/>
                <w:szCs w:val="24"/>
              </w:rPr>
              <w:t>变电站周围</w:t>
            </w:r>
            <w:r>
              <w:rPr>
                <w:rFonts w:hint="eastAsia" w:ascii="黑体" w:hAnsi="宋体" w:eastAsia="黑体"/>
                <w:snapToGrid w:val="0"/>
                <w:kern w:val="0"/>
                <w:szCs w:val="21"/>
              </w:rPr>
              <w:t>检测布点一览表</w:t>
            </w:r>
          </w:p>
          <w:tbl>
            <w:tblPr>
              <w:tblStyle w:val="22"/>
              <w:tblW w:w="929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71"/>
              <w:gridCol w:w="1418"/>
              <w:gridCol w:w="6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71" w:type="dxa"/>
                  <w:vAlign w:val="center"/>
                </w:tcPr>
                <w:p>
                  <w:pPr>
                    <w:snapToGrid w:val="0"/>
                    <w:spacing w:line="240" w:lineRule="exact"/>
                    <w:jc w:val="center"/>
                    <w:rPr>
                      <w:rFonts w:ascii="宋体" w:hAnsi="宋体"/>
                      <w:szCs w:val="21"/>
                    </w:rPr>
                  </w:pPr>
                  <w:r>
                    <w:rPr>
                      <w:rFonts w:hint="eastAsia" w:ascii="宋体" w:hAnsi="宋体"/>
                      <w:szCs w:val="21"/>
                    </w:rPr>
                    <w:t>类别</w:t>
                  </w:r>
                </w:p>
              </w:tc>
              <w:tc>
                <w:tcPr>
                  <w:tcW w:w="1418" w:type="dxa"/>
                  <w:vAlign w:val="center"/>
                </w:tcPr>
                <w:p>
                  <w:pPr>
                    <w:spacing w:line="240" w:lineRule="exact"/>
                    <w:jc w:val="center"/>
                    <w:rPr>
                      <w:rFonts w:ascii="宋体" w:hAnsi="宋体"/>
                      <w:szCs w:val="21"/>
                    </w:rPr>
                  </w:pPr>
                  <w:r>
                    <w:rPr>
                      <w:rFonts w:hint="eastAsia" w:ascii="宋体" w:hAnsi="宋体"/>
                      <w:szCs w:val="21"/>
                    </w:rPr>
                    <w:t>检测因子</w:t>
                  </w:r>
                </w:p>
              </w:tc>
              <w:tc>
                <w:tcPr>
                  <w:tcW w:w="6705" w:type="dxa"/>
                  <w:vAlign w:val="center"/>
                </w:tcPr>
                <w:p>
                  <w:pPr>
                    <w:spacing w:line="240" w:lineRule="exact"/>
                    <w:jc w:val="center"/>
                    <w:rPr>
                      <w:rFonts w:ascii="宋体" w:hAnsi="宋体"/>
                      <w:szCs w:val="21"/>
                    </w:rPr>
                  </w:pPr>
                  <w:r>
                    <w:rPr>
                      <w:rFonts w:hint="eastAsia" w:ascii="宋体" w:hAnsi="宋体"/>
                      <w:szCs w:val="21"/>
                    </w:rPr>
                    <w:t>布点方法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72" w:hRule="atLeast"/>
                <w:jc w:val="center"/>
              </w:trPr>
              <w:tc>
                <w:tcPr>
                  <w:tcW w:w="1171" w:type="dxa"/>
                  <w:vAlign w:val="center"/>
                </w:tcPr>
                <w:p>
                  <w:pPr>
                    <w:tabs>
                      <w:tab w:val="center" w:pos="4153"/>
                      <w:tab w:val="right" w:pos="8306"/>
                    </w:tabs>
                    <w:spacing w:line="280" w:lineRule="exact"/>
                    <w:jc w:val="center"/>
                    <w:rPr>
                      <w:rFonts w:ascii="宋体" w:hAnsi="宋体"/>
                      <w:szCs w:val="21"/>
                    </w:rPr>
                  </w:pPr>
                  <w:r>
                    <w:rPr>
                      <w:rFonts w:hint="eastAsia" w:ascii="宋体" w:hAnsi="宋体"/>
                      <w:szCs w:val="21"/>
                    </w:rPr>
                    <w:t>变电站</w:t>
                  </w:r>
                </w:p>
              </w:tc>
              <w:tc>
                <w:tcPr>
                  <w:tcW w:w="1418" w:type="dxa"/>
                  <w:vMerge w:val="restart"/>
                  <w:vAlign w:val="center"/>
                </w:tcPr>
                <w:p>
                  <w:pPr>
                    <w:pStyle w:val="5"/>
                    <w:adjustRightInd w:val="0"/>
                    <w:spacing w:line="360" w:lineRule="exact"/>
                    <w:ind w:firstLine="0" w:firstLineChars="0"/>
                    <w:jc w:val="center"/>
                    <w:textAlignment w:val="baseline"/>
                    <w:rPr>
                      <w:rFonts w:hAnsi="宋体"/>
                      <w:snapToGrid w:val="0"/>
                      <w:spacing w:val="10"/>
                      <w:kern w:val="0"/>
                      <w:sz w:val="21"/>
                      <w:szCs w:val="21"/>
                    </w:rPr>
                  </w:pPr>
                  <w:r>
                    <w:rPr>
                      <w:rFonts w:hint="eastAsia" w:hAnsi="宋体"/>
                      <w:snapToGrid w:val="0"/>
                      <w:spacing w:val="10"/>
                      <w:kern w:val="0"/>
                      <w:sz w:val="21"/>
                      <w:szCs w:val="21"/>
                    </w:rPr>
                    <w:t>工频电场、</w:t>
                  </w:r>
                </w:p>
                <w:p>
                  <w:pPr>
                    <w:pStyle w:val="5"/>
                    <w:adjustRightInd w:val="0"/>
                    <w:spacing w:line="360" w:lineRule="exact"/>
                    <w:ind w:firstLine="0" w:firstLineChars="0"/>
                    <w:jc w:val="center"/>
                    <w:textAlignment w:val="baseline"/>
                    <w:rPr>
                      <w:rFonts w:hAnsi="宋体"/>
                      <w:snapToGrid w:val="0"/>
                      <w:spacing w:val="10"/>
                      <w:kern w:val="0"/>
                      <w:sz w:val="21"/>
                      <w:szCs w:val="21"/>
                    </w:rPr>
                  </w:pPr>
                  <w:r>
                    <w:rPr>
                      <w:rFonts w:hint="eastAsia" w:hAnsi="宋体"/>
                      <w:snapToGrid w:val="0"/>
                      <w:spacing w:val="10"/>
                      <w:kern w:val="0"/>
                      <w:sz w:val="21"/>
                      <w:szCs w:val="21"/>
                    </w:rPr>
                    <w:t>工频磁场</w:t>
                  </w:r>
                </w:p>
              </w:tc>
              <w:tc>
                <w:tcPr>
                  <w:tcW w:w="6705" w:type="dxa"/>
                  <w:vAlign w:val="center"/>
                </w:tcPr>
                <w:p>
                  <w:pPr>
                    <w:snapToGrid w:val="0"/>
                    <w:spacing w:line="280" w:lineRule="exact"/>
                    <w:ind w:firstLine="420" w:firstLineChars="200"/>
                    <w:rPr>
                      <w:rFonts w:ascii="宋体" w:hAnsi="宋体"/>
                      <w:szCs w:val="21"/>
                    </w:rPr>
                  </w:pPr>
                  <w:r>
                    <w:rPr>
                      <w:rFonts w:hint="eastAsia" w:hAnsi="宋体"/>
                      <w:szCs w:val="21"/>
                    </w:rPr>
                    <w:t>变电站</w:t>
                  </w:r>
                  <w:r>
                    <w:rPr>
                      <w:rFonts w:hint="eastAsia" w:hAnsi="宋体"/>
                      <w:szCs w:val="21"/>
                      <w:lang w:val="en-US" w:eastAsia="zh-CN"/>
                    </w:rPr>
                    <w:t>南</w:t>
                  </w:r>
                  <w:r>
                    <w:rPr>
                      <w:rFonts w:hint="eastAsia" w:hAnsi="宋体"/>
                      <w:szCs w:val="21"/>
                    </w:rPr>
                    <w:t>侧、西侧</w:t>
                  </w:r>
                  <w:r>
                    <w:rPr>
                      <w:rFonts w:hint="eastAsia" w:hAnsi="宋体"/>
                      <w:szCs w:val="21"/>
                      <w:lang w:val="en-US" w:eastAsia="zh-CN"/>
                    </w:rPr>
                    <w:t>紧邻厂区内其他建筑，</w:t>
                  </w:r>
                  <w:r>
                    <w:rPr>
                      <w:rFonts w:hint="eastAsia" w:ascii="宋体" w:hAnsi="宋体"/>
                      <w:szCs w:val="21"/>
                    </w:rPr>
                    <w:t>在变电站</w:t>
                  </w:r>
                  <w:r>
                    <w:rPr>
                      <w:rFonts w:hint="eastAsia" w:ascii="宋体" w:hAnsi="宋体"/>
                      <w:szCs w:val="21"/>
                      <w:lang w:val="en-US" w:eastAsia="zh-CN"/>
                    </w:rPr>
                    <w:t>东侧和北侧</w:t>
                  </w:r>
                  <w:r>
                    <w:rPr>
                      <w:rFonts w:hint="eastAsia" w:ascii="宋体" w:hAnsi="宋体"/>
                      <w:szCs w:val="21"/>
                    </w:rPr>
                    <w:t>墙外5m处（远离进出线）各布设1个检测点。</w:t>
                  </w:r>
                </w:p>
                <w:p>
                  <w:pPr>
                    <w:spacing w:line="280" w:lineRule="exact"/>
                    <w:ind w:firstLine="420" w:firstLineChars="200"/>
                    <w:rPr>
                      <w:rFonts w:ascii="宋体" w:hAnsi="宋体"/>
                      <w:szCs w:val="21"/>
                    </w:rPr>
                  </w:pPr>
                  <w:r>
                    <w:rPr>
                      <w:rFonts w:hint="eastAsia" w:ascii="宋体" w:hAnsi="宋体"/>
                      <w:szCs w:val="21"/>
                    </w:rPr>
                    <w:t>衰减断面：</w:t>
                  </w:r>
                  <w:r>
                    <w:rPr>
                      <w:rFonts w:hint="eastAsia" w:hAnsi="宋体"/>
                      <w:szCs w:val="21"/>
                    </w:rPr>
                    <w:t>变电站</w:t>
                  </w:r>
                  <w:r>
                    <w:rPr>
                      <w:rFonts w:hint="eastAsia" w:hAnsi="宋体"/>
                      <w:szCs w:val="21"/>
                      <w:lang w:val="en-US" w:eastAsia="zh-CN"/>
                    </w:rPr>
                    <w:t>南</w:t>
                  </w:r>
                  <w:r>
                    <w:rPr>
                      <w:rFonts w:hint="eastAsia" w:hAnsi="宋体"/>
                      <w:szCs w:val="21"/>
                    </w:rPr>
                    <w:t>侧、西侧</w:t>
                  </w:r>
                  <w:r>
                    <w:rPr>
                      <w:rFonts w:hint="eastAsia" w:hAnsi="宋体"/>
                      <w:szCs w:val="21"/>
                      <w:lang w:val="en-US" w:eastAsia="zh-CN"/>
                    </w:rPr>
                    <w:t>紧邻厂区内其他建筑</w:t>
                  </w:r>
                  <w:r>
                    <w:rPr>
                      <w:rFonts w:hint="eastAsia" w:hAnsi="宋体"/>
                      <w:szCs w:val="21"/>
                    </w:rPr>
                    <w:t>，</w:t>
                  </w:r>
                  <w:r>
                    <w:rPr>
                      <w:rFonts w:hint="eastAsia" w:ascii="宋体" w:hAnsi="宋体"/>
                      <w:szCs w:val="21"/>
                    </w:rPr>
                    <w:t>衰减断面以变电站</w:t>
                  </w:r>
                  <w:r>
                    <w:rPr>
                      <w:rFonts w:hint="eastAsia" w:ascii="宋体" w:hAnsi="宋体"/>
                      <w:szCs w:val="21"/>
                      <w:lang w:val="en-US" w:eastAsia="zh-CN"/>
                    </w:rPr>
                    <w:t>东</w:t>
                  </w:r>
                  <w:r>
                    <w:rPr>
                      <w:rFonts w:hint="eastAsia" w:ascii="宋体" w:hAnsi="宋体"/>
                      <w:szCs w:val="21"/>
                    </w:rPr>
                    <w:t>侧、北侧的工频电场和工频磁场检测最大值为测试原点，沿垂直于围墙的方向进行检测，测点间距为5m，</w:t>
                  </w:r>
                  <w:r>
                    <w:rPr>
                      <w:rFonts w:hint="eastAsia" w:ascii="宋体" w:hAnsi="宋体"/>
                      <w:szCs w:val="21"/>
                      <w:lang w:val="en-US" w:eastAsia="zh-CN"/>
                    </w:rPr>
                    <w:t>变电站东侧处为</w:t>
                  </w:r>
                  <w:r>
                    <w:rPr>
                      <w:rFonts w:hint="eastAsia" w:ascii="宋体" w:hAnsi="宋体"/>
                      <w:szCs w:val="21"/>
                    </w:rPr>
                    <w:t>检测最大值</w:t>
                  </w:r>
                  <w:r>
                    <w:rPr>
                      <w:rFonts w:hint="eastAsia" w:ascii="宋体" w:hAnsi="宋体"/>
                      <w:szCs w:val="21"/>
                      <w:lang w:eastAsia="zh-CN"/>
                    </w:rPr>
                    <w:t>，</w:t>
                  </w:r>
                  <w:r>
                    <w:rPr>
                      <w:rFonts w:hint="eastAsia" w:ascii="宋体" w:hAnsi="宋体"/>
                      <w:szCs w:val="21"/>
                    </w:rPr>
                    <w:t>测至</w:t>
                  </w:r>
                  <w:r>
                    <w:rPr>
                      <w:rFonts w:hint="eastAsia" w:hAnsi="宋体"/>
                      <w:snapToGrid w:val="0"/>
                      <w:spacing w:val="10"/>
                      <w:kern w:val="0"/>
                      <w:szCs w:val="21"/>
                    </w:rPr>
                    <w:t>站</w:t>
                  </w:r>
                  <w:r>
                    <w:rPr>
                      <w:rFonts w:hint="eastAsia" w:hAnsi="宋体"/>
                      <w:snapToGrid w:val="0"/>
                      <w:spacing w:val="10"/>
                      <w:kern w:val="0"/>
                      <w:szCs w:val="21"/>
                      <w:lang w:val="en-US" w:eastAsia="zh-CN"/>
                    </w:rPr>
                    <w:t>东35</w:t>
                  </w:r>
                  <w:r>
                    <w:rPr>
                      <w:rFonts w:hAnsi="宋体"/>
                      <w:snapToGrid w:val="0"/>
                      <w:spacing w:val="10"/>
                      <w:kern w:val="0"/>
                      <w:szCs w:val="21"/>
                    </w:rPr>
                    <w:t>m</w:t>
                  </w:r>
                  <w:r>
                    <w:rPr>
                      <w:rFonts w:hint="eastAsia" w:hAnsi="宋体"/>
                      <w:snapToGrid w:val="0"/>
                      <w:spacing w:val="10"/>
                      <w:kern w:val="0"/>
                      <w:szCs w:val="21"/>
                      <w:lang w:val="en-US" w:eastAsia="zh-CN"/>
                    </w:rPr>
                    <w:t>后为厂区内其他建筑</w:t>
                  </w:r>
                  <w:r>
                    <w:rPr>
                      <w:rFonts w:hAnsi="宋体"/>
                      <w:snapToGrid w:val="0"/>
                      <w:spacing w:val="10"/>
                      <w:kern w:val="0"/>
                      <w:szCs w:val="21"/>
                    </w:rPr>
                    <w:t>，共布点</w:t>
                  </w:r>
                  <w:r>
                    <w:rPr>
                      <w:rFonts w:hint="eastAsia" w:hAnsi="宋体"/>
                      <w:snapToGrid w:val="0"/>
                      <w:spacing w:val="10"/>
                      <w:kern w:val="0"/>
                      <w:szCs w:val="21"/>
                      <w:lang w:val="en-US" w:eastAsia="zh-CN"/>
                    </w:rPr>
                    <w:t>7</w:t>
                  </w:r>
                  <w:r>
                    <w:rPr>
                      <w:rFonts w:hAnsi="宋体"/>
                      <w:snapToGrid w:val="0"/>
                      <w:spacing w:val="10"/>
                      <w:kern w:val="0"/>
                      <w:szCs w:val="21"/>
                    </w:rPr>
                    <w:t>个检测点</w:t>
                  </w:r>
                  <w:r>
                    <w:rPr>
                      <w:rFonts w:hint="eastAsia" w:ascii="宋体" w:hAnsi="宋体"/>
                      <w:szCs w:val="21"/>
                    </w:rPr>
                    <w:t>。</w:t>
                  </w:r>
                </w:p>
                <w:p>
                  <w:pPr>
                    <w:snapToGrid w:val="0"/>
                    <w:spacing w:line="280" w:lineRule="exact"/>
                    <w:ind w:firstLine="420" w:firstLineChars="200"/>
                    <w:rPr>
                      <w:rFonts w:ascii="宋体" w:hAnsi="宋体"/>
                      <w:szCs w:val="21"/>
                    </w:rPr>
                  </w:pPr>
                  <w:r>
                    <w:rPr>
                      <w:rFonts w:hint="eastAsia" w:ascii="宋体" w:hAnsi="宋体"/>
                      <w:szCs w:val="21"/>
                    </w:rPr>
                    <w:t>测量高度为距离地面1.5m。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77" w:hRule="atLeast"/>
                <w:jc w:val="center"/>
              </w:trPr>
              <w:tc>
                <w:tcPr>
                  <w:tcW w:w="1171" w:type="dxa"/>
                  <w:vAlign w:val="center"/>
                </w:tcPr>
                <w:p>
                  <w:pPr>
                    <w:tabs>
                      <w:tab w:val="center" w:pos="4153"/>
                      <w:tab w:val="right" w:pos="8306"/>
                    </w:tabs>
                    <w:spacing w:line="280" w:lineRule="exact"/>
                    <w:jc w:val="center"/>
                    <w:rPr>
                      <w:rFonts w:ascii="宋体" w:hAnsi="宋体"/>
                      <w:szCs w:val="21"/>
                    </w:rPr>
                  </w:pPr>
                  <w:r>
                    <w:rPr>
                      <w:rFonts w:hint="eastAsia" w:ascii="宋体" w:hAnsi="宋体"/>
                      <w:szCs w:val="21"/>
                    </w:rPr>
                    <w:t>线路</w:t>
                  </w:r>
                </w:p>
              </w:tc>
              <w:tc>
                <w:tcPr>
                  <w:tcW w:w="1418" w:type="dxa"/>
                  <w:vMerge w:val="continue"/>
                </w:tcPr>
                <w:p>
                  <w:pPr>
                    <w:spacing w:line="280" w:lineRule="exact"/>
                    <w:ind w:firstLine="420" w:firstLineChars="200"/>
                    <w:rPr>
                      <w:rFonts w:ascii="宋体" w:hAnsi="宋体"/>
                      <w:szCs w:val="21"/>
                    </w:rPr>
                  </w:pPr>
                </w:p>
              </w:tc>
              <w:tc>
                <w:tcPr>
                  <w:tcW w:w="6705" w:type="dxa"/>
                  <w:vAlign w:val="center"/>
                </w:tcPr>
                <w:p>
                  <w:pPr>
                    <w:spacing w:line="280" w:lineRule="exact"/>
                    <w:ind w:firstLine="420" w:firstLineChars="200"/>
                    <w:rPr>
                      <w:rFonts w:ascii="宋体" w:hAnsi="宋体"/>
                      <w:szCs w:val="21"/>
                    </w:rPr>
                  </w:pPr>
                  <w:r>
                    <w:rPr>
                      <w:rFonts w:hint="eastAsia" w:ascii="宋体" w:hAnsi="宋体"/>
                      <w:szCs w:val="21"/>
                    </w:rPr>
                    <w:t>衰减断面：</w:t>
                  </w:r>
                  <w:r>
                    <w:rPr>
                      <w:rFonts w:hint="eastAsia" w:ascii="宋体" w:hAnsi="宋体"/>
                      <w:color w:val="000000"/>
                      <w:szCs w:val="21"/>
                    </w:rPr>
                    <w:t>以空中电</w:t>
                  </w:r>
                  <w:r>
                    <w:rPr>
                      <w:rFonts w:hint="eastAsia" w:ascii="宋体" w:hAnsi="宋体"/>
                      <w:color w:val="auto"/>
                      <w:szCs w:val="21"/>
                    </w:rPr>
                    <w:t>缆</w:t>
                  </w:r>
                  <w:r>
                    <w:rPr>
                      <w:rFonts w:hint="eastAsia" w:ascii="宋体" w:hAnsi="宋体"/>
                      <w:color w:val="auto"/>
                      <w:szCs w:val="21"/>
                      <w:lang w:val="en-US" w:eastAsia="zh-CN"/>
                    </w:rPr>
                    <w:t>通廊</w:t>
                  </w:r>
                  <w:r>
                    <w:rPr>
                      <w:rFonts w:hint="eastAsia" w:ascii="宋体" w:hAnsi="宋体"/>
                      <w:color w:val="auto"/>
                      <w:szCs w:val="21"/>
                    </w:rPr>
                    <w:t>中</w:t>
                  </w:r>
                  <w:r>
                    <w:rPr>
                      <w:rFonts w:hint="eastAsia" w:ascii="宋体" w:hAnsi="宋体"/>
                      <w:color w:val="000000"/>
                      <w:szCs w:val="21"/>
                    </w:rPr>
                    <w:t>心正下方的地面为测试原点，沿垂直于线路方向进行检测，测点间距为1m</w:t>
                  </w:r>
                  <w:r>
                    <w:rPr>
                      <w:rFonts w:hint="eastAsia" w:ascii="宋体" w:hAnsi="宋体"/>
                      <w:szCs w:val="21"/>
                    </w:rPr>
                    <w:t>，</w:t>
                  </w:r>
                  <w:r>
                    <w:rPr>
                      <w:rFonts w:hint="eastAsia" w:ascii="宋体" w:hAnsi="宋体"/>
                      <w:color w:val="000000"/>
                      <w:szCs w:val="21"/>
                    </w:rPr>
                    <w:t>测至电缆</w:t>
                  </w:r>
                  <w:r>
                    <w:rPr>
                      <w:rFonts w:hint="eastAsia" w:ascii="宋体" w:hAnsi="宋体"/>
                      <w:color w:val="000000"/>
                      <w:szCs w:val="21"/>
                      <w:lang w:val="en-US" w:eastAsia="zh-CN"/>
                    </w:rPr>
                    <w:t>通</w:t>
                  </w:r>
                  <w:r>
                    <w:rPr>
                      <w:rFonts w:hint="eastAsia" w:ascii="宋体" w:hAnsi="宋体"/>
                      <w:color w:val="000000"/>
                      <w:szCs w:val="21"/>
                    </w:rPr>
                    <w:t>廊边缘5m处为止。</w:t>
                  </w:r>
                </w:p>
                <w:p>
                  <w:pPr>
                    <w:snapToGrid w:val="0"/>
                    <w:spacing w:line="280" w:lineRule="exact"/>
                    <w:ind w:firstLine="420" w:firstLineChars="200"/>
                    <w:rPr>
                      <w:rFonts w:ascii="宋体" w:hAnsi="宋体"/>
                      <w:szCs w:val="21"/>
                    </w:rPr>
                  </w:pPr>
                  <w:r>
                    <w:rPr>
                      <w:rFonts w:hint="eastAsia" w:ascii="宋体" w:hAnsi="宋体"/>
                      <w:szCs w:val="21"/>
                    </w:rPr>
                    <w:t>测量高度为距离地面1.5m。</w:t>
                  </w:r>
                </w:p>
              </w:tc>
            </w:tr>
          </w:tbl>
          <w:p>
            <w:pPr>
              <w:pStyle w:val="5"/>
              <w:spacing w:before="156" w:beforeLines="50" w:line="360" w:lineRule="auto"/>
              <w:ind w:firstLine="0" w:firstLineChars="0"/>
              <w:jc w:val="center"/>
              <w:rPr>
                <w:rFonts w:ascii="黑体" w:hAnsi="宋体" w:eastAsia="黑体"/>
                <w:snapToGrid w:val="0"/>
                <w:kern w:val="0"/>
                <w:szCs w:val="21"/>
              </w:rPr>
            </w:pPr>
            <w:r>
              <w:rPr>
                <w:rFonts w:hint="eastAsia" w:ascii="黑体" w:hAnsi="宋体" w:eastAsia="黑体"/>
                <w:snapToGrid w:val="0"/>
                <w:kern w:val="0"/>
                <w:szCs w:val="21"/>
              </w:rPr>
              <w:t>表</w:t>
            </w:r>
            <w:r>
              <w:rPr>
                <w:rFonts w:ascii="黑体" w:hAnsi="宋体" w:eastAsia="黑体"/>
                <w:snapToGrid w:val="0"/>
                <w:kern w:val="0"/>
                <w:szCs w:val="21"/>
              </w:rPr>
              <w:t>3-</w:t>
            </w:r>
            <w:r>
              <w:rPr>
                <w:rFonts w:hint="eastAsia" w:ascii="黑体" w:hAnsi="宋体" w:eastAsia="黑体"/>
                <w:snapToGrid w:val="0"/>
                <w:kern w:val="0"/>
                <w:szCs w:val="21"/>
              </w:rPr>
              <w:t>5</w:t>
            </w:r>
            <w:r>
              <w:rPr>
                <w:rFonts w:ascii="黑体" w:hAnsi="宋体" w:eastAsia="黑体"/>
                <w:snapToGrid w:val="0"/>
                <w:kern w:val="0"/>
                <w:szCs w:val="21"/>
              </w:rPr>
              <w:t xml:space="preserve">  </w:t>
            </w:r>
            <w:r>
              <w:rPr>
                <w:rFonts w:hint="eastAsia" w:ascii="黑体" w:eastAsia="黑体"/>
                <w:szCs w:val="24"/>
              </w:rPr>
              <w:t>检测时变电站各主变及输电线路运行工况</w:t>
            </w:r>
          </w:p>
          <w:tbl>
            <w:tblPr>
              <w:tblStyle w:val="23"/>
              <w:tblW w:w="8547" w:type="dxa"/>
              <w:jc w:val="center"/>
              <w:tblInd w:w="-67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27"/>
              <w:gridCol w:w="2140"/>
              <w:gridCol w:w="2079"/>
              <w:gridCol w:w="19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27" w:type="dxa"/>
                  <w:vAlign w:val="center"/>
                </w:tcPr>
                <w:p>
                  <w:pPr>
                    <w:spacing w:line="220" w:lineRule="atLeast"/>
                    <w:jc w:val="center"/>
                    <w:rPr>
                      <w:rFonts w:ascii="宋体" w:hAnsi="宋体"/>
                      <w:szCs w:val="21"/>
                    </w:rPr>
                  </w:pPr>
                  <w:r>
                    <w:rPr>
                      <w:rFonts w:hint="eastAsia" w:ascii="宋体" w:hAnsi="宋体"/>
                      <w:szCs w:val="21"/>
                    </w:rPr>
                    <w:t>主变及线路名称</w:t>
                  </w:r>
                </w:p>
              </w:tc>
              <w:tc>
                <w:tcPr>
                  <w:tcW w:w="2140" w:type="dxa"/>
                  <w:vAlign w:val="center"/>
                </w:tcPr>
                <w:p>
                  <w:pPr>
                    <w:spacing w:line="280" w:lineRule="exact"/>
                    <w:jc w:val="center"/>
                    <w:rPr>
                      <w:rFonts w:ascii="宋体" w:hAnsi="宋体"/>
                      <w:szCs w:val="21"/>
                    </w:rPr>
                  </w:pPr>
                  <w:r>
                    <w:rPr>
                      <w:rFonts w:hint="eastAsia" w:ascii="宋体" w:hAnsi="宋体"/>
                      <w:szCs w:val="21"/>
                    </w:rPr>
                    <w:t>电压（kV）</w:t>
                  </w:r>
                </w:p>
              </w:tc>
              <w:tc>
                <w:tcPr>
                  <w:tcW w:w="2079" w:type="dxa"/>
                  <w:vAlign w:val="center"/>
                </w:tcPr>
                <w:p>
                  <w:pPr>
                    <w:spacing w:line="280" w:lineRule="exact"/>
                    <w:jc w:val="center"/>
                    <w:rPr>
                      <w:rFonts w:ascii="宋体" w:hAnsi="宋体"/>
                      <w:szCs w:val="21"/>
                    </w:rPr>
                  </w:pPr>
                  <w:r>
                    <w:rPr>
                      <w:rFonts w:hint="eastAsia" w:ascii="宋体" w:hAnsi="宋体"/>
                      <w:szCs w:val="21"/>
                    </w:rPr>
                    <w:t>电流(A)</w:t>
                  </w:r>
                </w:p>
              </w:tc>
              <w:tc>
                <w:tcPr>
                  <w:tcW w:w="1901" w:type="dxa"/>
                  <w:vAlign w:val="center"/>
                </w:tcPr>
                <w:p>
                  <w:pPr>
                    <w:spacing w:line="280" w:lineRule="exact"/>
                    <w:jc w:val="center"/>
                    <w:rPr>
                      <w:rFonts w:ascii="宋体" w:hAnsi="宋体"/>
                      <w:szCs w:val="21"/>
                    </w:rPr>
                  </w:pPr>
                  <w:r>
                    <w:rPr>
                      <w:rFonts w:hint="eastAsia" w:ascii="宋体" w:hAnsi="宋体"/>
                      <w:szCs w:val="21"/>
                    </w:rPr>
                    <w:t>有功功率(</w:t>
                  </w:r>
                  <w:r>
                    <w:rPr>
                      <w:rFonts w:hint="eastAsia" w:ascii="宋体" w:hAnsi="宋体"/>
                      <w:szCs w:val="21"/>
                      <w:lang w:val="en-US" w:eastAsia="zh-CN"/>
                    </w:rPr>
                    <w:t>k</w:t>
                  </w:r>
                  <w:r>
                    <w:rPr>
                      <w:rFonts w:hint="eastAsia" w:ascii="宋体" w:hAnsi="宋体"/>
                      <w:szCs w:val="21"/>
                    </w:rPr>
                    <w:t>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27" w:type="dxa"/>
                  <w:vAlign w:val="center"/>
                </w:tcPr>
                <w:p>
                  <w:pPr>
                    <w:spacing w:line="220" w:lineRule="atLeast"/>
                    <w:jc w:val="center"/>
                    <w:rPr>
                      <w:rFonts w:ascii="宋体" w:hAnsi="宋体"/>
                      <w:szCs w:val="21"/>
                    </w:rPr>
                  </w:pPr>
                  <w:r>
                    <w:rPr>
                      <w:rFonts w:hint="eastAsia" w:ascii="宋体" w:hAnsi="宋体"/>
                      <w:szCs w:val="21"/>
                    </w:rPr>
                    <w:t>#1主变</w:t>
                  </w:r>
                </w:p>
              </w:tc>
              <w:tc>
                <w:tcPr>
                  <w:tcW w:w="2140" w:type="dxa"/>
                  <w:vAlign w:val="center"/>
                </w:tcPr>
                <w:p>
                  <w:pPr>
                    <w:jc w:val="center"/>
                    <w:rPr>
                      <w:rFonts w:ascii="宋体" w:hAnsi="宋体" w:cs="宋体"/>
                      <w:szCs w:val="21"/>
                    </w:rPr>
                  </w:pPr>
                  <w:r>
                    <w:rPr>
                      <w:rFonts w:hint="eastAsia" w:ascii="宋体" w:hAnsi="宋体" w:cs="宋体"/>
                      <w:szCs w:val="21"/>
                    </w:rPr>
                    <w:t>113.</w:t>
                  </w:r>
                  <w:r>
                    <w:rPr>
                      <w:rFonts w:hint="eastAsia" w:ascii="宋体" w:hAnsi="宋体" w:cs="宋体"/>
                      <w:szCs w:val="21"/>
                      <w:lang w:val="en-US" w:eastAsia="zh-CN"/>
                    </w:rPr>
                    <w:t>62</w:t>
                  </w:r>
                </w:p>
              </w:tc>
              <w:tc>
                <w:tcPr>
                  <w:tcW w:w="2079" w:type="dxa"/>
                  <w:vAlign w:val="center"/>
                </w:tcPr>
                <w:p>
                  <w:pPr>
                    <w:jc w:val="center"/>
                    <w:rPr>
                      <w:rFonts w:ascii="宋体" w:hAnsi="宋体" w:cs="宋体"/>
                      <w:szCs w:val="21"/>
                    </w:rPr>
                  </w:pPr>
                  <w:r>
                    <w:rPr>
                      <w:rFonts w:hint="eastAsia" w:ascii="宋体" w:hAnsi="宋体"/>
                      <w:szCs w:val="21"/>
                      <w:lang w:val="en-US" w:eastAsia="zh-CN"/>
                    </w:rPr>
                    <w:t>71.75</w:t>
                  </w:r>
                </w:p>
              </w:tc>
              <w:tc>
                <w:tcPr>
                  <w:tcW w:w="1901" w:type="dxa"/>
                  <w:vAlign w:val="center"/>
                </w:tcPr>
                <w:p>
                  <w:pPr>
                    <w:jc w:val="center"/>
                    <w:rPr>
                      <w:rFonts w:ascii="宋体" w:hAnsi="宋体" w:cs="宋体"/>
                      <w:szCs w:val="21"/>
                    </w:rPr>
                  </w:pPr>
                  <w:r>
                    <w:rPr>
                      <w:rFonts w:hint="eastAsia" w:ascii="宋体" w:hAnsi="宋体"/>
                      <w:szCs w:val="21"/>
                      <w:lang w:val="en-US" w:eastAsia="zh-CN"/>
                    </w:rPr>
                    <w:t>14153.0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27" w:type="dxa"/>
                  <w:vAlign w:val="center"/>
                </w:tcPr>
                <w:p>
                  <w:pPr>
                    <w:spacing w:line="220" w:lineRule="atLeast"/>
                    <w:jc w:val="center"/>
                    <w:rPr>
                      <w:rFonts w:ascii="宋体" w:hAnsi="宋体"/>
                      <w:szCs w:val="21"/>
                    </w:rPr>
                  </w:pPr>
                  <w:r>
                    <w:rPr>
                      <w:rFonts w:hint="eastAsia" w:ascii="宋体" w:hAnsi="宋体"/>
                      <w:szCs w:val="21"/>
                    </w:rPr>
                    <w:t>#2主变</w:t>
                  </w:r>
                </w:p>
              </w:tc>
              <w:tc>
                <w:tcPr>
                  <w:tcW w:w="2140" w:type="dxa"/>
                  <w:vAlign w:val="center"/>
                </w:tcPr>
                <w:p>
                  <w:pPr>
                    <w:jc w:val="center"/>
                    <w:rPr>
                      <w:rFonts w:ascii="宋体" w:hAnsi="宋体"/>
                      <w:szCs w:val="21"/>
                    </w:rPr>
                  </w:pPr>
                  <w:r>
                    <w:rPr>
                      <w:rFonts w:hint="eastAsia" w:ascii="宋体" w:hAnsi="宋体" w:cs="宋体"/>
                      <w:szCs w:val="21"/>
                      <w:lang w:val="en-US" w:eastAsia="zh-CN"/>
                    </w:rPr>
                    <w:t>112.65</w:t>
                  </w:r>
                </w:p>
              </w:tc>
              <w:tc>
                <w:tcPr>
                  <w:tcW w:w="2079" w:type="dxa"/>
                  <w:vAlign w:val="center"/>
                </w:tcPr>
                <w:p>
                  <w:pPr>
                    <w:jc w:val="center"/>
                    <w:rPr>
                      <w:rFonts w:ascii="宋体" w:hAnsi="宋体"/>
                      <w:szCs w:val="21"/>
                    </w:rPr>
                  </w:pPr>
                  <w:r>
                    <w:rPr>
                      <w:rFonts w:hint="eastAsia" w:ascii="宋体" w:hAnsi="宋体"/>
                      <w:szCs w:val="21"/>
                      <w:lang w:val="en-US" w:eastAsia="zh-CN"/>
                    </w:rPr>
                    <w:t>85.12</w:t>
                  </w:r>
                </w:p>
              </w:tc>
              <w:tc>
                <w:tcPr>
                  <w:tcW w:w="1901" w:type="dxa"/>
                  <w:vAlign w:val="center"/>
                </w:tcPr>
                <w:p>
                  <w:pPr>
                    <w:jc w:val="center"/>
                    <w:rPr>
                      <w:rFonts w:ascii="宋体" w:hAnsi="宋体"/>
                      <w:szCs w:val="21"/>
                    </w:rPr>
                  </w:pPr>
                  <w:r>
                    <w:rPr>
                      <w:rFonts w:hint="eastAsia" w:ascii="宋体" w:hAnsi="宋体"/>
                      <w:szCs w:val="21"/>
                      <w:lang w:val="en-US" w:eastAsia="zh-CN"/>
                    </w:rPr>
                    <w:t>15922.2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27" w:type="dxa"/>
                  <w:vAlign w:val="center"/>
                </w:tcPr>
                <w:p>
                  <w:pPr>
                    <w:spacing w:line="220" w:lineRule="atLeast"/>
                    <w:jc w:val="center"/>
                    <w:rPr>
                      <w:rFonts w:ascii="宋体" w:hAnsi="宋体"/>
                      <w:szCs w:val="21"/>
                    </w:rPr>
                  </w:pPr>
                  <w:r>
                    <w:rPr>
                      <w:rFonts w:hint="eastAsia" w:ascii="宋体" w:hAnsi="宋体"/>
                      <w:szCs w:val="21"/>
                    </w:rPr>
                    <w:t>#3主变</w:t>
                  </w:r>
                </w:p>
              </w:tc>
              <w:tc>
                <w:tcPr>
                  <w:tcW w:w="2140" w:type="dxa"/>
                  <w:vAlign w:val="center"/>
                </w:tcPr>
                <w:p>
                  <w:pPr>
                    <w:jc w:val="center"/>
                    <w:rPr>
                      <w:rFonts w:ascii="宋体" w:hAnsi="宋体" w:cs="宋体"/>
                      <w:szCs w:val="21"/>
                    </w:rPr>
                  </w:pPr>
                  <w:r>
                    <w:rPr>
                      <w:rFonts w:hint="eastAsia" w:ascii="宋体" w:hAnsi="宋体" w:cs="宋体"/>
                      <w:szCs w:val="21"/>
                      <w:lang w:val="en-US" w:eastAsia="zh-CN"/>
                    </w:rPr>
                    <w:t>112.98</w:t>
                  </w:r>
                </w:p>
              </w:tc>
              <w:tc>
                <w:tcPr>
                  <w:tcW w:w="2079" w:type="dxa"/>
                  <w:vAlign w:val="center"/>
                </w:tcPr>
                <w:p>
                  <w:pPr>
                    <w:jc w:val="center"/>
                    <w:rPr>
                      <w:rFonts w:ascii="宋体" w:hAnsi="宋体"/>
                      <w:szCs w:val="21"/>
                    </w:rPr>
                  </w:pPr>
                  <w:r>
                    <w:rPr>
                      <w:rFonts w:hint="eastAsia" w:ascii="宋体" w:hAnsi="宋体"/>
                      <w:szCs w:val="21"/>
                      <w:lang w:val="en-US" w:eastAsia="zh-CN"/>
                    </w:rPr>
                    <w:t>0</w:t>
                  </w:r>
                </w:p>
              </w:tc>
              <w:tc>
                <w:tcPr>
                  <w:tcW w:w="1901" w:type="dxa"/>
                  <w:vAlign w:val="center"/>
                </w:tcPr>
                <w:p>
                  <w:pPr>
                    <w:jc w:val="center"/>
                    <w:rPr>
                      <w:rFonts w:ascii="宋体" w:hAnsi="宋体"/>
                      <w:szCs w:val="21"/>
                    </w:rPr>
                  </w:pPr>
                  <w:r>
                    <w:rPr>
                      <w:rFonts w:hint="eastAsia" w:ascii="宋体" w:hAnsi="宋体"/>
                      <w:szCs w:val="21"/>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27" w:type="dxa"/>
                  <w:vAlign w:val="center"/>
                </w:tcPr>
                <w:p>
                  <w:pPr>
                    <w:spacing w:line="220" w:lineRule="atLeast"/>
                    <w:jc w:val="center"/>
                    <w:rPr>
                      <w:rFonts w:hint="eastAsia" w:ascii="宋体" w:hAnsi="宋体" w:eastAsia="宋体"/>
                      <w:szCs w:val="21"/>
                      <w:lang w:val="en-US" w:eastAsia="zh-CN"/>
                    </w:rPr>
                  </w:pPr>
                  <w:r>
                    <w:rPr>
                      <w:rFonts w:hint="eastAsia" w:ascii="宋体" w:hAnsi="宋体"/>
                      <w:szCs w:val="21"/>
                    </w:rPr>
                    <w:t>110</w:t>
                  </w:r>
                  <w:r>
                    <w:rPr>
                      <w:rFonts w:ascii="宋体" w:hAnsi="宋体"/>
                      <w:szCs w:val="21"/>
                    </w:rPr>
                    <w:t>kV</w:t>
                  </w:r>
                  <w:r>
                    <w:rPr>
                      <w:rFonts w:hint="eastAsia" w:ascii="宋体" w:hAnsi="宋体"/>
                      <w:szCs w:val="21"/>
                      <w:lang w:val="en-US" w:eastAsia="zh-CN"/>
                    </w:rPr>
                    <w:t>鼓风I</w:t>
                  </w:r>
                  <w:r>
                    <w:rPr>
                      <w:rFonts w:hint="eastAsia" w:ascii="宋体" w:hAnsi="宋体"/>
                      <w:szCs w:val="21"/>
                    </w:rPr>
                    <w:t>线</w:t>
                  </w:r>
                </w:p>
              </w:tc>
              <w:tc>
                <w:tcPr>
                  <w:tcW w:w="2140" w:type="dxa"/>
                  <w:vAlign w:val="center"/>
                </w:tcPr>
                <w:p>
                  <w:pPr>
                    <w:jc w:val="center"/>
                    <w:rPr>
                      <w:rFonts w:hint="eastAsia" w:ascii="宋体" w:hAnsi="宋体" w:eastAsia="宋体" w:cs="宋体"/>
                      <w:szCs w:val="21"/>
                      <w:lang w:val="en-US" w:eastAsia="zh-CN"/>
                    </w:rPr>
                  </w:pPr>
                  <w:r>
                    <w:rPr>
                      <w:rFonts w:hint="eastAsia" w:ascii="宋体" w:hAnsi="宋体" w:cs="宋体"/>
                      <w:szCs w:val="21"/>
                    </w:rPr>
                    <w:t>113.</w:t>
                  </w:r>
                  <w:r>
                    <w:rPr>
                      <w:rFonts w:hint="eastAsia" w:ascii="宋体" w:hAnsi="宋体" w:cs="宋体"/>
                      <w:szCs w:val="21"/>
                      <w:lang w:val="en-US" w:eastAsia="zh-CN"/>
                    </w:rPr>
                    <w:t>62</w:t>
                  </w:r>
                </w:p>
              </w:tc>
              <w:tc>
                <w:tcPr>
                  <w:tcW w:w="2079" w:type="dxa"/>
                  <w:vAlign w:val="center"/>
                </w:tcPr>
                <w:p>
                  <w:pPr>
                    <w:jc w:val="center"/>
                    <w:rPr>
                      <w:rFonts w:hint="eastAsia" w:ascii="宋体" w:hAnsi="宋体" w:eastAsia="宋体"/>
                      <w:szCs w:val="21"/>
                      <w:lang w:val="en-US" w:eastAsia="zh-CN"/>
                    </w:rPr>
                  </w:pPr>
                  <w:r>
                    <w:rPr>
                      <w:rFonts w:hint="eastAsia" w:ascii="宋体" w:hAnsi="宋体"/>
                      <w:szCs w:val="21"/>
                      <w:lang w:val="en-US" w:eastAsia="zh-CN"/>
                    </w:rPr>
                    <w:t>71.75</w:t>
                  </w:r>
                </w:p>
              </w:tc>
              <w:tc>
                <w:tcPr>
                  <w:tcW w:w="1901" w:type="dxa"/>
                  <w:vAlign w:val="center"/>
                </w:tcPr>
                <w:p>
                  <w:pPr>
                    <w:jc w:val="center"/>
                    <w:rPr>
                      <w:rFonts w:hint="eastAsia" w:ascii="宋体" w:hAnsi="宋体" w:eastAsia="宋体"/>
                      <w:szCs w:val="21"/>
                      <w:lang w:val="en-US" w:eastAsia="zh-CN"/>
                    </w:rPr>
                  </w:pPr>
                  <w:r>
                    <w:rPr>
                      <w:rFonts w:hint="eastAsia" w:ascii="宋体" w:hAnsi="宋体"/>
                      <w:szCs w:val="21"/>
                      <w:lang w:val="en-US" w:eastAsia="zh-CN"/>
                    </w:rPr>
                    <w:t>14153.0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27" w:type="dxa"/>
                  <w:vAlign w:val="center"/>
                </w:tcPr>
                <w:p>
                  <w:pPr>
                    <w:spacing w:line="220" w:lineRule="atLeast"/>
                    <w:jc w:val="center"/>
                    <w:rPr>
                      <w:rFonts w:ascii="宋体" w:hAnsi="宋体"/>
                      <w:szCs w:val="21"/>
                    </w:rPr>
                  </w:pPr>
                  <w:r>
                    <w:rPr>
                      <w:rFonts w:hint="eastAsia" w:ascii="宋体" w:hAnsi="宋体"/>
                      <w:szCs w:val="21"/>
                    </w:rPr>
                    <w:t>110</w:t>
                  </w:r>
                  <w:r>
                    <w:rPr>
                      <w:rFonts w:ascii="宋体" w:hAnsi="宋体"/>
                      <w:szCs w:val="21"/>
                    </w:rPr>
                    <w:t>kV</w:t>
                  </w:r>
                  <w:r>
                    <w:rPr>
                      <w:rFonts w:hint="eastAsia" w:ascii="宋体" w:hAnsi="宋体"/>
                      <w:szCs w:val="21"/>
                      <w:lang w:val="en-US" w:eastAsia="zh-CN"/>
                    </w:rPr>
                    <w:t>鼓风II</w:t>
                  </w:r>
                  <w:r>
                    <w:rPr>
                      <w:rFonts w:hint="eastAsia" w:ascii="宋体" w:hAnsi="宋体"/>
                      <w:szCs w:val="21"/>
                    </w:rPr>
                    <w:t>线</w:t>
                  </w:r>
                </w:p>
              </w:tc>
              <w:tc>
                <w:tcPr>
                  <w:tcW w:w="2140" w:type="dxa"/>
                  <w:vAlign w:val="center"/>
                </w:tcPr>
                <w:p>
                  <w:pPr>
                    <w:jc w:val="center"/>
                    <w:rPr>
                      <w:rFonts w:hint="eastAsia" w:ascii="宋体" w:hAnsi="宋体" w:eastAsia="宋体" w:cs="宋体"/>
                      <w:szCs w:val="21"/>
                      <w:lang w:val="en-US" w:eastAsia="zh-CN"/>
                    </w:rPr>
                  </w:pPr>
                  <w:r>
                    <w:rPr>
                      <w:rFonts w:hint="eastAsia" w:ascii="宋体" w:hAnsi="宋体" w:cs="宋体"/>
                      <w:szCs w:val="21"/>
                      <w:lang w:val="en-US" w:eastAsia="zh-CN"/>
                    </w:rPr>
                    <w:t>112.65</w:t>
                  </w:r>
                </w:p>
              </w:tc>
              <w:tc>
                <w:tcPr>
                  <w:tcW w:w="2079" w:type="dxa"/>
                  <w:vAlign w:val="center"/>
                </w:tcPr>
                <w:p>
                  <w:pPr>
                    <w:jc w:val="center"/>
                    <w:rPr>
                      <w:rFonts w:hint="eastAsia" w:ascii="宋体" w:hAnsi="宋体" w:eastAsia="宋体"/>
                      <w:szCs w:val="21"/>
                      <w:lang w:val="en-US" w:eastAsia="zh-CN"/>
                    </w:rPr>
                  </w:pPr>
                  <w:r>
                    <w:rPr>
                      <w:rFonts w:hint="eastAsia" w:ascii="宋体" w:hAnsi="宋体"/>
                      <w:szCs w:val="21"/>
                      <w:lang w:val="en-US" w:eastAsia="zh-CN"/>
                    </w:rPr>
                    <w:t>85.12</w:t>
                  </w:r>
                </w:p>
              </w:tc>
              <w:tc>
                <w:tcPr>
                  <w:tcW w:w="1901" w:type="dxa"/>
                  <w:vAlign w:val="center"/>
                </w:tcPr>
                <w:p>
                  <w:pPr>
                    <w:jc w:val="center"/>
                    <w:rPr>
                      <w:rFonts w:hint="eastAsia" w:ascii="宋体" w:hAnsi="宋体" w:eastAsia="宋体"/>
                      <w:szCs w:val="21"/>
                      <w:lang w:val="en-US" w:eastAsia="zh-CN"/>
                    </w:rPr>
                  </w:pPr>
                  <w:r>
                    <w:rPr>
                      <w:rFonts w:hint="eastAsia" w:ascii="宋体" w:hAnsi="宋体"/>
                      <w:szCs w:val="21"/>
                      <w:lang w:val="en-US" w:eastAsia="zh-CN"/>
                    </w:rPr>
                    <w:t>15922.2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27" w:type="dxa"/>
                  <w:vAlign w:val="center"/>
                </w:tcPr>
                <w:p>
                  <w:pPr>
                    <w:spacing w:line="220" w:lineRule="atLeast"/>
                    <w:jc w:val="center"/>
                    <w:rPr>
                      <w:rFonts w:ascii="宋体" w:hAnsi="宋体"/>
                      <w:szCs w:val="21"/>
                    </w:rPr>
                  </w:pPr>
                  <w:r>
                    <w:rPr>
                      <w:rFonts w:hint="eastAsia" w:ascii="宋体" w:hAnsi="宋体"/>
                      <w:szCs w:val="21"/>
                    </w:rPr>
                    <w:t>110</w:t>
                  </w:r>
                  <w:r>
                    <w:rPr>
                      <w:rFonts w:ascii="宋体" w:hAnsi="宋体"/>
                      <w:szCs w:val="21"/>
                    </w:rPr>
                    <w:t>kV</w:t>
                  </w:r>
                  <w:r>
                    <w:rPr>
                      <w:rFonts w:hint="eastAsia" w:ascii="宋体" w:hAnsi="宋体"/>
                      <w:szCs w:val="21"/>
                      <w:lang w:val="en-US" w:eastAsia="zh-CN"/>
                    </w:rPr>
                    <w:t>鼓风III</w:t>
                  </w:r>
                  <w:r>
                    <w:rPr>
                      <w:rFonts w:hint="eastAsia" w:ascii="宋体" w:hAnsi="宋体"/>
                      <w:szCs w:val="21"/>
                    </w:rPr>
                    <w:t>线</w:t>
                  </w:r>
                </w:p>
              </w:tc>
              <w:tc>
                <w:tcPr>
                  <w:tcW w:w="2140" w:type="dxa"/>
                  <w:vAlign w:val="center"/>
                </w:tcPr>
                <w:p>
                  <w:pPr>
                    <w:jc w:val="center"/>
                    <w:rPr>
                      <w:rFonts w:ascii="宋体" w:hAnsi="宋体" w:cs="宋体"/>
                      <w:szCs w:val="21"/>
                    </w:rPr>
                  </w:pPr>
                  <w:r>
                    <w:rPr>
                      <w:rFonts w:hint="eastAsia" w:ascii="宋体" w:hAnsi="宋体" w:cs="宋体"/>
                      <w:szCs w:val="21"/>
                      <w:lang w:val="en-US" w:eastAsia="zh-CN"/>
                    </w:rPr>
                    <w:t>112.98</w:t>
                  </w:r>
                </w:p>
              </w:tc>
              <w:tc>
                <w:tcPr>
                  <w:tcW w:w="2079" w:type="dxa"/>
                  <w:vAlign w:val="center"/>
                </w:tcPr>
                <w:p>
                  <w:pPr>
                    <w:jc w:val="center"/>
                    <w:rPr>
                      <w:rFonts w:hint="eastAsia" w:ascii="宋体" w:hAnsi="宋体" w:eastAsia="宋体"/>
                      <w:szCs w:val="21"/>
                      <w:lang w:val="en-US" w:eastAsia="zh-CN"/>
                    </w:rPr>
                  </w:pPr>
                  <w:r>
                    <w:rPr>
                      <w:rFonts w:hint="eastAsia" w:ascii="宋体" w:hAnsi="宋体"/>
                      <w:szCs w:val="21"/>
                      <w:lang w:val="en-US" w:eastAsia="zh-CN"/>
                    </w:rPr>
                    <w:t>0</w:t>
                  </w:r>
                </w:p>
              </w:tc>
              <w:tc>
                <w:tcPr>
                  <w:tcW w:w="1901" w:type="dxa"/>
                  <w:vAlign w:val="center"/>
                </w:tcPr>
                <w:p>
                  <w:pPr>
                    <w:jc w:val="center"/>
                    <w:rPr>
                      <w:rFonts w:hint="eastAsia" w:ascii="宋体" w:hAnsi="宋体" w:eastAsia="宋体"/>
                      <w:szCs w:val="21"/>
                      <w:lang w:val="en-US" w:eastAsia="zh-CN"/>
                    </w:rPr>
                  </w:pPr>
                  <w:r>
                    <w:rPr>
                      <w:rFonts w:hint="eastAsia" w:ascii="宋体" w:hAnsi="宋体"/>
                      <w:szCs w:val="21"/>
                      <w:lang w:val="en-US" w:eastAsia="zh-CN"/>
                    </w:rPr>
                    <w:t>0</w:t>
                  </w:r>
                </w:p>
              </w:tc>
            </w:tr>
          </w:tbl>
          <w:p>
            <w:pPr>
              <w:pStyle w:val="18"/>
              <w:spacing w:after="0" w:line="240" w:lineRule="auto"/>
              <w:ind w:firstLine="420" w:firstLineChars="200"/>
              <w:rPr>
                <w:rFonts w:ascii="宋体" w:hAnsi="宋体"/>
                <w:snapToGrid w:val="0"/>
                <w:kern w:val="0"/>
                <w:sz w:val="21"/>
                <w:szCs w:val="21"/>
              </w:rPr>
            </w:pPr>
            <w:r>
              <w:rPr>
                <w:rFonts w:hint="eastAsia" w:ascii="宋体" w:hAnsi="宋体"/>
                <w:snapToGrid w:val="0"/>
                <w:kern w:val="0"/>
                <w:sz w:val="21"/>
                <w:szCs w:val="21"/>
              </w:rPr>
              <w:t>注：现场检测时，#</w:t>
            </w:r>
            <w:r>
              <w:rPr>
                <w:rFonts w:hint="eastAsia" w:ascii="宋体" w:hAnsi="宋体"/>
                <w:snapToGrid w:val="0"/>
                <w:kern w:val="0"/>
                <w:sz w:val="21"/>
                <w:szCs w:val="21"/>
                <w:lang w:val="en-US" w:eastAsia="zh-CN"/>
              </w:rPr>
              <w:t>3</w:t>
            </w:r>
            <w:r>
              <w:rPr>
                <w:rFonts w:hint="eastAsia" w:ascii="宋体" w:hAnsi="宋体"/>
                <w:snapToGrid w:val="0"/>
                <w:kern w:val="0"/>
                <w:sz w:val="21"/>
                <w:szCs w:val="21"/>
              </w:rPr>
              <w:t>主</w:t>
            </w:r>
            <w:r>
              <w:rPr>
                <w:rFonts w:hint="eastAsia" w:ascii="宋体" w:hAnsi="宋体" w:eastAsia="宋体" w:cs="Times New Roman"/>
                <w:snapToGrid w:val="0"/>
                <w:kern w:val="0"/>
                <w:sz w:val="21"/>
                <w:szCs w:val="21"/>
              </w:rPr>
              <w:t>变和110kV</w:t>
            </w:r>
            <w:r>
              <w:rPr>
                <w:rFonts w:hint="eastAsia" w:ascii="宋体" w:hAnsi="宋体" w:eastAsia="宋体" w:cs="Times New Roman"/>
                <w:snapToGrid w:val="0"/>
                <w:kern w:val="0"/>
                <w:sz w:val="21"/>
                <w:szCs w:val="21"/>
                <w:lang w:val="en-US" w:eastAsia="zh-CN"/>
              </w:rPr>
              <w:t>鼓风III</w:t>
            </w:r>
            <w:r>
              <w:rPr>
                <w:rFonts w:hint="eastAsia" w:ascii="宋体" w:hAnsi="宋体" w:eastAsia="宋体" w:cs="Times New Roman"/>
                <w:snapToGrid w:val="0"/>
                <w:kern w:val="0"/>
                <w:sz w:val="21"/>
                <w:szCs w:val="21"/>
              </w:rPr>
              <w:t>线处于热备</w:t>
            </w:r>
            <w:r>
              <w:rPr>
                <w:rFonts w:hint="eastAsia" w:ascii="宋体" w:hAnsi="宋体"/>
                <w:snapToGrid w:val="0"/>
                <w:kern w:val="0"/>
                <w:sz w:val="21"/>
                <w:szCs w:val="21"/>
              </w:rPr>
              <w:t>用</w:t>
            </w:r>
            <w:r>
              <w:rPr>
                <w:rFonts w:hint="eastAsia" w:ascii="宋体" w:hAnsi="宋体"/>
                <w:snapToGrid w:val="0"/>
                <w:kern w:val="0"/>
                <w:sz w:val="21"/>
                <w:szCs w:val="21"/>
                <w:lang w:val="en-US" w:eastAsia="zh-CN"/>
              </w:rPr>
              <w:t>,本工程三回线路均直接接入3台主变，线路工况与主变工况一致</w:t>
            </w:r>
            <w:r>
              <w:rPr>
                <w:rFonts w:hint="eastAsia" w:ascii="宋体" w:hAnsi="宋体"/>
                <w:snapToGrid w:val="0"/>
                <w:kern w:val="0"/>
                <w:sz w:val="21"/>
                <w:szCs w:val="21"/>
              </w:rPr>
              <w:t>。</w:t>
            </w:r>
          </w:p>
          <w:p>
            <w:pPr>
              <w:pStyle w:val="18"/>
              <w:spacing w:after="0" w:line="360" w:lineRule="auto"/>
              <w:rPr>
                <w:rFonts w:ascii="黑体" w:hAnsi="宋体" w:eastAsia="黑体"/>
                <w:snapToGrid w:val="0"/>
                <w:kern w:val="0"/>
                <w:szCs w:val="28"/>
              </w:rPr>
            </w:pPr>
            <w:r>
              <w:rPr>
                <w:rFonts w:ascii="黑体" w:hAnsi="宋体" w:eastAsia="黑体"/>
                <w:snapToGrid w:val="0"/>
                <w:kern w:val="0"/>
                <w:szCs w:val="28"/>
              </w:rPr>
              <w:t xml:space="preserve">3.4 </w:t>
            </w:r>
            <w:r>
              <w:rPr>
                <w:rFonts w:hint="eastAsia" w:ascii="黑体" w:hAnsi="宋体" w:eastAsia="黑体"/>
                <w:snapToGrid w:val="0"/>
                <w:kern w:val="0"/>
                <w:szCs w:val="28"/>
              </w:rPr>
              <w:t>检测结果</w:t>
            </w:r>
          </w:p>
          <w:p>
            <w:pPr>
              <w:pStyle w:val="18"/>
              <w:spacing w:after="0" w:line="360" w:lineRule="auto"/>
              <w:ind w:firstLine="480" w:firstLineChars="200"/>
              <w:rPr>
                <w:rFonts w:ascii="宋体" w:hAnsi="宋体"/>
                <w:snapToGrid w:val="0"/>
                <w:kern w:val="0"/>
                <w:sz w:val="24"/>
              </w:rPr>
            </w:pPr>
            <w:r>
              <w:rPr>
                <w:rFonts w:hint="eastAsia" w:ascii="宋体" w:hAnsi="宋体"/>
                <w:snapToGrid w:val="0"/>
                <w:kern w:val="0"/>
                <w:sz w:val="24"/>
              </w:rPr>
              <w:t>（1）变电站周围电磁环境现状检测</w:t>
            </w:r>
          </w:p>
          <w:p>
            <w:pPr>
              <w:pStyle w:val="18"/>
              <w:spacing w:after="0" w:line="360" w:lineRule="auto"/>
              <w:ind w:firstLine="480" w:firstLineChars="200"/>
              <w:rPr>
                <w:rFonts w:ascii="宋体" w:hAnsi="宋体"/>
                <w:snapToGrid w:val="0"/>
                <w:kern w:val="0"/>
                <w:sz w:val="24"/>
              </w:rPr>
            </w:pPr>
            <w:r>
              <w:rPr>
                <w:rFonts w:hint="eastAsia" w:ascii="宋体" w:hAnsi="宋体"/>
                <w:snapToGrid w:val="0"/>
                <w:kern w:val="0"/>
                <w:sz w:val="24"/>
              </w:rPr>
              <w:t>本工程</w:t>
            </w:r>
            <w:bookmarkStart w:id="3" w:name="_Hlk2344560"/>
            <w:r>
              <w:rPr>
                <w:rFonts w:hint="eastAsia" w:ascii="宋体" w:hAnsi="宋体"/>
                <w:snapToGrid w:val="0"/>
                <w:kern w:val="0"/>
                <w:sz w:val="24"/>
              </w:rPr>
              <w:t>变电站周围工频电场、工频磁场检测结果见表</w:t>
            </w:r>
            <w:r>
              <w:rPr>
                <w:rFonts w:ascii="宋体" w:hAnsi="宋体"/>
                <w:snapToGrid w:val="0"/>
                <w:kern w:val="0"/>
                <w:sz w:val="24"/>
              </w:rPr>
              <w:t>3-</w:t>
            </w:r>
            <w:r>
              <w:rPr>
                <w:rFonts w:hint="eastAsia" w:ascii="宋体" w:hAnsi="宋体"/>
                <w:snapToGrid w:val="0"/>
                <w:kern w:val="0"/>
                <w:sz w:val="24"/>
              </w:rPr>
              <w:t>6，本工程变电站检测布点示意图见图1-6。</w:t>
            </w:r>
            <w:bookmarkEnd w:id="3"/>
          </w:p>
          <w:p>
            <w:pPr>
              <w:pStyle w:val="5"/>
              <w:spacing w:line="360" w:lineRule="auto"/>
              <w:ind w:firstLine="0" w:firstLineChars="0"/>
              <w:jc w:val="center"/>
              <w:rPr>
                <w:rFonts w:ascii="黑体" w:eastAsia="黑体"/>
                <w:kern w:val="0"/>
                <w:szCs w:val="24"/>
              </w:rPr>
            </w:pPr>
            <w:r>
              <w:rPr>
                <w:rFonts w:hint="eastAsia" w:ascii="黑体" w:eastAsia="黑体"/>
                <w:kern w:val="0"/>
                <w:szCs w:val="24"/>
              </w:rPr>
              <w:t>表</w:t>
            </w:r>
            <w:r>
              <w:rPr>
                <w:rFonts w:ascii="黑体" w:eastAsia="黑体"/>
                <w:kern w:val="0"/>
                <w:szCs w:val="24"/>
              </w:rPr>
              <w:t xml:space="preserve">3-6 </w:t>
            </w:r>
            <w:r>
              <w:rPr>
                <w:rFonts w:hint="eastAsia" w:ascii="黑体" w:eastAsia="黑体"/>
                <w:kern w:val="0"/>
                <w:szCs w:val="24"/>
              </w:rPr>
              <w:t xml:space="preserve"> 本工程变电站周围</w:t>
            </w:r>
            <w:r>
              <w:rPr>
                <w:rFonts w:hint="eastAsia" w:ascii="黑体" w:hAnsi="宋体" w:eastAsia="黑体"/>
                <w:snapToGrid w:val="0"/>
                <w:kern w:val="0"/>
                <w:szCs w:val="21"/>
              </w:rPr>
              <w:t>工频电场、工频磁场</w:t>
            </w:r>
            <w:r>
              <w:rPr>
                <w:rFonts w:hint="eastAsia" w:ascii="黑体" w:eastAsia="黑体"/>
                <w:kern w:val="0"/>
                <w:szCs w:val="24"/>
              </w:rPr>
              <w:t>检测结果</w:t>
            </w:r>
          </w:p>
          <w:tbl>
            <w:tblPr>
              <w:tblStyle w:val="22"/>
              <w:tblW w:w="9427" w:type="dxa"/>
              <w:jc w:val="center"/>
              <w:tblInd w:w="0" w:type="dxa"/>
              <w:tblLayout w:type="fixed"/>
              <w:tblCellMar>
                <w:top w:w="0" w:type="dxa"/>
                <w:left w:w="108" w:type="dxa"/>
                <w:bottom w:w="0" w:type="dxa"/>
                <w:right w:w="108" w:type="dxa"/>
              </w:tblCellMar>
            </w:tblPr>
            <w:tblGrid>
              <w:gridCol w:w="1087"/>
              <w:gridCol w:w="4049"/>
              <w:gridCol w:w="2111"/>
              <w:gridCol w:w="2180"/>
            </w:tblGrid>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ind w:left="945" w:hanging="945" w:hangingChars="450"/>
                    <w:jc w:val="center"/>
                    <w:rPr>
                      <w:rFonts w:ascii="宋体"/>
                      <w:szCs w:val="21"/>
                    </w:rPr>
                  </w:pPr>
                  <w:r>
                    <w:rPr>
                      <w:rFonts w:hint="eastAsia" w:ascii="宋体" w:hAnsi="宋体"/>
                    </w:rPr>
                    <w:t>检测点位</w:t>
                  </w:r>
                </w:p>
              </w:tc>
              <w:tc>
                <w:tcPr>
                  <w:tcW w:w="4049" w:type="dxa"/>
                  <w:tcBorders>
                    <w:top w:val="single" w:color="auto" w:sz="4" w:space="0"/>
                    <w:bottom w:val="single" w:color="auto" w:sz="4" w:space="0"/>
                    <w:right w:val="single" w:color="auto" w:sz="4" w:space="0"/>
                  </w:tcBorders>
                  <w:vAlign w:val="center"/>
                </w:tcPr>
                <w:p>
                  <w:pPr>
                    <w:spacing w:line="360" w:lineRule="exact"/>
                    <w:ind w:left="945" w:hanging="945" w:hangingChars="450"/>
                    <w:jc w:val="center"/>
                    <w:rPr>
                      <w:rFonts w:ascii="宋体"/>
                      <w:szCs w:val="21"/>
                    </w:rPr>
                  </w:pPr>
                  <w:r>
                    <w:rPr>
                      <w:rFonts w:hint="eastAsia" w:ascii="宋体" w:hAnsi="宋体"/>
                    </w:rPr>
                    <w:t>测点位置</w:t>
                  </w:r>
                </w:p>
              </w:tc>
              <w:tc>
                <w:tcPr>
                  <w:tcW w:w="2111" w:type="dxa"/>
                  <w:tcBorders>
                    <w:top w:val="single" w:color="auto" w:sz="4" w:space="0"/>
                    <w:bottom w:val="single" w:color="auto" w:sz="4" w:space="0"/>
                    <w:right w:val="single" w:color="auto" w:sz="4" w:space="0"/>
                  </w:tcBorders>
                  <w:vAlign w:val="center"/>
                </w:tcPr>
                <w:p>
                  <w:pPr>
                    <w:spacing w:line="360" w:lineRule="exact"/>
                    <w:jc w:val="both"/>
                    <w:rPr>
                      <w:rFonts w:ascii="宋体"/>
                      <w:szCs w:val="21"/>
                    </w:rPr>
                  </w:pPr>
                  <w:r>
                    <w:rPr>
                      <w:rFonts w:hint="eastAsia" w:ascii="宋体" w:hAnsi="宋体"/>
                      <w:szCs w:val="21"/>
                    </w:rPr>
                    <w:t>工频</w:t>
                  </w:r>
                  <w:r>
                    <w:rPr>
                      <w:rFonts w:hint="eastAsia" w:ascii="宋体" w:hAnsi="宋体"/>
                    </w:rPr>
                    <w:t>电场强度（</w:t>
                  </w:r>
                  <w:r>
                    <w:rPr>
                      <w:rFonts w:ascii="宋体" w:hAnsi="宋体"/>
                    </w:rPr>
                    <w:t>V/m</w:t>
                  </w:r>
                  <w:r>
                    <w:rPr>
                      <w:rFonts w:hint="eastAsia" w:ascii="宋体" w:hAnsi="宋体"/>
                    </w:rPr>
                    <w:t>）</w:t>
                  </w:r>
                </w:p>
              </w:tc>
              <w:tc>
                <w:tcPr>
                  <w:tcW w:w="2180" w:type="dxa"/>
                  <w:tcBorders>
                    <w:top w:val="single" w:color="auto" w:sz="4" w:space="0"/>
                    <w:bottom w:val="single" w:color="auto" w:sz="4" w:space="0"/>
                    <w:right w:val="single" w:color="auto" w:sz="4" w:space="0"/>
                  </w:tcBorders>
                  <w:vAlign w:val="center"/>
                </w:tcPr>
                <w:p>
                  <w:pPr>
                    <w:spacing w:line="360" w:lineRule="exact"/>
                    <w:jc w:val="both"/>
                    <w:rPr>
                      <w:rFonts w:ascii="宋体"/>
                      <w:szCs w:val="21"/>
                    </w:rPr>
                  </w:pPr>
                  <w:r>
                    <w:rPr>
                      <w:rFonts w:hint="eastAsia" w:ascii="宋体" w:hAnsi="宋体"/>
                      <w:szCs w:val="21"/>
                    </w:rPr>
                    <w:t>工频磁感应强度</w:t>
                  </w:r>
                  <w:r>
                    <w:rPr>
                      <w:rFonts w:hint="eastAsia" w:ascii="宋体" w:hAnsi="宋体"/>
                    </w:rPr>
                    <w:t>（µ</w:t>
                  </w:r>
                  <w:r>
                    <w:rPr>
                      <w:rFonts w:ascii="宋体" w:hAnsi="宋体"/>
                    </w:rPr>
                    <w:t>T</w:t>
                  </w:r>
                  <w:r>
                    <w:rPr>
                      <w:rFonts w:hint="eastAsia" w:ascii="宋体" w:hAnsi="宋体"/>
                    </w:rPr>
                    <w:t>）</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szCs w:val="21"/>
                    </w:rPr>
                  </w:pPr>
                  <w:r>
                    <w:rPr>
                      <w:rFonts w:hint="eastAsia" w:ascii="宋体" w:hAnsi="宋体" w:cs="宋体"/>
                      <w:szCs w:val="21"/>
                    </w:rPr>
                    <w:t>A1</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eastAsia="宋体"/>
                      <w:szCs w:val="21"/>
                      <w:lang w:val="en-US" w:eastAsia="zh-CN"/>
                    </w:rPr>
                  </w:pPr>
                  <w:r>
                    <w:rPr>
                      <w:rFonts w:hint="eastAsia" w:ascii="宋体" w:hAnsi="宋体" w:cs="宋体"/>
                      <w:szCs w:val="21"/>
                    </w:rPr>
                    <w:t>变电站</w:t>
                  </w:r>
                  <w:r>
                    <w:rPr>
                      <w:rFonts w:hint="eastAsia" w:ascii="宋体" w:hAnsi="宋体" w:cs="宋体"/>
                      <w:szCs w:val="21"/>
                      <w:lang w:val="en-US" w:eastAsia="zh-CN"/>
                    </w:rPr>
                    <w:t>东</w:t>
                  </w:r>
                  <w:r>
                    <w:rPr>
                      <w:rFonts w:hint="eastAsia" w:ascii="宋体" w:hAnsi="宋体" w:cs="宋体"/>
                      <w:szCs w:val="21"/>
                    </w:rPr>
                    <w:t>侧距围墙外5m处</w:t>
                  </w:r>
                  <w:r>
                    <w:rPr>
                      <w:rFonts w:hint="eastAsia" w:ascii="宋体" w:hAnsi="宋体" w:cs="宋体"/>
                      <w:szCs w:val="21"/>
                      <w:lang w:val="en-US" w:eastAsia="zh-CN"/>
                    </w:rPr>
                    <w:t>（#1主变东）</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lang w:val="en-US" w:eastAsia="zh-CN"/>
                    </w:rPr>
                    <w:t xml:space="preserve">5.097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lang w:val="en-US" w:eastAsia="zh-CN"/>
                    </w:rPr>
                    <w:t xml:space="preserve">0.706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eastAsia="宋体" w:cs="宋体"/>
                      <w:szCs w:val="21"/>
                      <w:lang w:val="en-US" w:eastAsia="zh-CN"/>
                    </w:rPr>
                  </w:pPr>
                  <w:r>
                    <w:rPr>
                      <w:rFonts w:hint="eastAsia" w:ascii="宋体" w:hAnsi="宋体" w:cs="宋体"/>
                      <w:szCs w:val="21"/>
                    </w:rPr>
                    <w:t>A2</w:t>
                  </w:r>
                  <w:r>
                    <w:rPr>
                      <w:rFonts w:hint="eastAsia" w:ascii="宋体" w:hAnsi="宋体" w:cs="宋体"/>
                      <w:szCs w:val="21"/>
                      <w:lang w:val="en-US" w:eastAsia="zh-CN"/>
                    </w:rPr>
                    <w:t>-1</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变电站</w:t>
                  </w:r>
                  <w:r>
                    <w:rPr>
                      <w:rFonts w:hint="eastAsia" w:ascii="宋体" w:hAnsi="宋体" w:cs="宋体"/>
                      <w:szCs w:val="21"/>
                      <w:lang w:val="en-US" w:eastAsia="zh-CN"/>
                    </w:rPr>
                    <w:t>东</w:t>
                  </w:r>
                  <w:r>
                    <w:rPr>
                      <w:rFonts w:hint="eastAsia" w:ascii="宋体" w:hAnsi="宋体" w:cs="宋体"/>
                      <w:szCs w:val="21"/>
                    </w:rPr>
                    <w:t>侧距围墙外5m处</w:t>
                  </w:r>
                  <w:r>
                    <w:rPr>
                      <w:rFonts w:hint="eastAsia" w:ascii="宋体" w:hAnsi="宋体" w:cs="宋体"/>
                      <w:szCs w:val="21"/>
                      <w:lang w:eastAsia="zh-CN"/>
                    </w:rPr>
                    <w:t>（</w:t>
                  </w:r>
                  <w:r>
                    <w:rPr>
                      <w:rFonts w:hint="eastAsia" w:ascii="宋体" w:hAnsi="宋体" w:cs="宋体"/>
                      <w:szCs w:val="21"/>
                      <w:lang w:val="en-US" w:eastAsia="zh-CN"/>
                    </w:rPr>
                    <w:t>#2主变东</w:t>
                  </w:r>
                  <w:r>
                    <w:rPr>
                      <w:rFonts w:hint="eastAsia" w:ascii="宋体" w:hAnsi="宋体" w:cs="宋体"/>
                      <w:szCs w:val="21"/>
                      <w:lang w:eastAsia="zh-CN"/>
                    </w:rPr>
                    <w:t>）</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lang w:val="en-US" w:eastAsia="zh-CN"/>
                    </w:rPr>
                    <w:t xml:space="preserve">13.83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lang w:val="en-US" w:eastAsia="zh-CN"/>
                    </w:rPr>
                    <w:t xml:space="preserve">0.848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rPr>
                  </w:pPr>
                  <w:r>
                    <w:rPr>
                      <w:rFonts w:hint="eastAsia" w:ascii="宋体" w:hAnsi="宋体" w:cs="宋体"/>
                      <w:szCs w:val="21"/>
                    </w:rPr>
                    <w:t>A2</w:t>
                  </w:r>
                  <w:r>
                    <w:rPr>
                      <w:rFonts w:hint="eastAsia" w:ascii="宋体" w:hAnsi="宋体" w:cs="宋体"/>
                      <w:szCs w:val="21"/>
                      <w:lang w:val="en-US" w:eastAsia="zh-CN"/>
                    </w:rPr>
                    <w:t>-2</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rPr>
                  </w:pPr>
                  <w:r>
                    <w:rPr>
                      <w:rFonts w:hint="eastAsia" w:ascii="宋体" w:hAnsi="宋体" w:cs="宋体"/>
                      <w:szCs w:val="21"/>
                    </w:rPr>
                    <w:t>变电站</w:t>
                  </w:r>
                  <w:r>
                    <w:rPr>
                      <w:rFonts w:hint="eastAsia" w:ascii="宋体" w:hAnsi="宋体" w:cs="宋体"/>
                      <w:szCs w:val="21"/>
                      <w:lang w:val="en-US" w:eastAsia="zh-CN"/>
                    </w:rPr>
                    <w:t>东</w:t>
                  </w:r>
                  <w:r>
                    <w:rPr>
                      <w:rFonts w:hint="eastAsia" w:ascii="宋体" w:hAnsi="宋体" w:cs="宋体"/>
                      <w:szCs w:val="21"/>
                    </w:rPr>
                    <w:t>侧距围墙外</w:t>
                  </w:r>
                  <w:r>
                    <w:rPr>
                      <w:rFonts w:hint="eastAsia" w:ascii="宋体" w:hAnsi="宋体" w:cs="宋体"/>
                      <w:szCs w:val="21"/>
                      <w:lang w:val="en-US" w:eastAsia="zh-CN"/>
                    </w:rPr>
                    <w:t>10</w:t>
                  </w:r>
                  <w:r>
                    <w:rPr>
                      <w:rFonts w:hint="eastAsia" w:ascii="宋体" w:hAnsi="宋体" w:cs="宋体"/>
                      <w:szCs w:val="21"/>
                    </w:rPr>
                    <w:t>m处</w:t>
                  </w:r>
                  <w:r>
                    <w:rPr>
                      <w:rFonts w:hint="eastAsia" w:ascii="宋体" w:hAnsi="宋体" w:cs="宋体"/>
                      <w:szCs w:val="21"/>
                      <w:lang w:eastAsia="zh-CN"/>
                    </w:rPr>
                    <w:t>（</w:t>
                  </w:r>
                  <w:r>
                    <w:rPr>
                      <w:rFonts w:hint="eastAsia" w:ascii="宋体" w:hAnsi="宋体" w:cs="宋体"/>
                      <w:szCs w:val="21"/>
                      <w:lang w:val="en-US" w:eastAsia="zh-CN"/>
                    </w:rPr>
                    <w:t>#2主变东</w:t>
                  </w:r>
                  <w:r>
                    <w:rPr>
                      <w:rFonts w:hint="eastAsia" w:ascii="宋体" w:hAnsi="宋体" w:cs="宋体"/>
                      <w:szCs w:val="21"/>
                      <w:lang w:eastAsia="zh-CN"/>
                    </w:rPr>
                    <w:t>）</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rPr>
                  </w:pPr>
                  <w:r>
                    <w:rPr>
                      <w:rFonts w:hint="eastAsia" w:ascii="宋体" w:hAnsi="宋体" w:cs="宋体"/>
                      <w:szCs w:val="21"/>
                      <w:lang w:val="en-US" w:eastAsia="zh-CN"/>
                    </w:rPr>
                    <w:t xml:space="preserve">12.24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rPr>
                  </w:pPr>
                  <w:r>
                    <w:rPr>
                      <w:rFonts w:hint="eastAsia" w:ascii="宋体" w:hAnsi="宋体" w:cs="宋体"/>
                      <w:szCs w:val="21"/>
                      <w:lang w:val="en-US" w:eastAsia="zh-CN"/>
                    </w:rPr>
                    <w:t xml:space="preserve">0.807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rPr>
                  </w:pPr>
                  <w:r>
                    <w:rPr>
                      <w:rFonts w:hint="eastAsia" w:ascii="宋体" w:hAnsi="宋体" w:cs="宋体"/>
                      <w:szCs w:val="21"/>
                    </w:rPr>
                    <w:t>A2</w:t>
                  </w:r>
                  <w:r>
                    <w:rPr>
                      <w:rFonts w:hint="eastAsia" w:ascii="宋体" w:hAnsi="宋体" w:cs="宋体"/>
                      <w:szCs w:val="21"/>
                      <w:lang w:val="en-US" w:eastAsia="zh-CN"/>
                    </w:rPr>
                    <w:t>-3</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rPr>
                  </w:pPr>
                  <w:r>
                    <w:rPr>
                      <w:rFonts w:hint="eastAsia" w:ascii="宋体" w:hAnsi="宋体" w:cs="宋体"/>
                      <w:szCs w:val="21"/>
                    </w:rPr>
                    <w:t>变电站</w:t>
                  </w:r>
                  <w:r>
                    <w:rPr>
                      <w:rFonts w:hint="eastAsia" w:ascii="宋体" w:hAnsi="宋体" w:cs="宋体"/>
                      <w:szCs w:val="21"/>
                      <w:lang w:val="en-US" w:eastAsia="zh-CN"/>
                    </w:rPr>
                    <w:t>东</w:t>
                  </w:r>
                  <w:r>
                    <w:rPr>
                      <w:rFonts w:hint="eastAsia" w:ascii="宋体" w:hAnsi="宋体" w:cs="宋体"/>
                      <w:szCs w:val="21"/>
                    </w:rPr>
                    <w:t>侧距围墙外</w:t>
                  </w:r>
                  <w:r>
                    <w:rPr>
                      <w:rFonts w:hint="eastAsia" w:ascii="宋体" w:hAnsi="宋体" w:cs="宋体"/>
                      <w:szCs w:val="21"/>
                      <w:lang w:val="en-US" w:eastAsia="zh-CN"/>
                    </w:rPr>
                    <w:t>1</w:t>
                  </w:r>
                  <w:r>
                    <w:rPr>
                      <w:rFonts w:hint="eastAsia" w:ascii="宋体" w:hAnsi="宋体" w:cs="宋体"/>
                      <w:szCs w:val="21"/>
                    </w:rPr>
                    <w:t>5m处</w:t>
                  </w:r>
                  <w:r>
                    <w:rPr>
                      <w:rFonts w:hint="eastAsia" w:ascii="宋体" w:hAnsi="宋体" w:cs="宋体"/>
                      <w:szCs w:val="21"/>
                      <w:lang w:eastAsia="zh-CN"/>
                    </w:rPr>
                    <w:t>（</w:t>
                  </w:r>
                  <w:r>
                    <w:rPr>
                      <w:rFonts w:hint="eastAsia" w:ascii="宋体" w:hAnsi="宋体" w:cs="宋体"/>
                      <w:szCs w:val="21"/>
                      <w:lang w:val="en-US" w:eastAsia="zh-CN"/>
                    </w:rPr>
                    <w:t>#2主变东</w:t>
                  </w:r>
                  <w:r>
                    <w:rPr>
                      <w:rFonts w:hint="eastAsia" w:ascii="宋体" w:hAnsi="宋体" w:cs="宋体"/>
                      <w:szCs w:val="21"/>
                      <w:lang w:eastAsia="zh-CN"/>
                    </w:rPr>
                    <w:t>）</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rPr>
                  </w:pPr>
                  <w:r>
                    <w:rPr>
                      <w:rFonts w:hint="eastAsia" w:ascii="宋体" w:hAnsi="宋体" w:cs="宋体"/>
                      <w:szCs w:val="21"/>
                      <w:lang w:val="en-US" w:eastAsia="zh-CN"/>
                    </w:rPr>
                    <w:t xml:space="preserve">10.78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rPr>
                  </w:pPr>
                  <w:r>
                    <w:rPr>
                      <w:rFonts w:hint="eastAsia" w:ascii="宋体" w:hAnsi="宋体" w:cs="宋体"/>
                      <w:szCs w:val="21"/>
                      <w:lang w:val="en-US" w:eastAsia="zh-CN"/>
                    </w:rPr>
                    <w:t xml:space="preserve">0.740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rPr>
                  </w:pPr>
                  <w:r>
                    <w:rPr>
                      <w:rFonts w:hint="eastAsia" w:ascii="宋体" w:hAnsi="宋体" w:cs="宋体"/>
                      <w:szCs w:val="21"/>
                    </w:rPr>
                    <w:t>A2</w:t>
                  </w:r>
                  <w:r>
                    <w:rPr>
                      <w:rFonts w:hint="eastAsia" w:ascii="宋体" w:hAnsi="宋体" w:cs="宋体"/>
                      <w:szCs w:val="21"/>
                      <w:lang w:val="en-US" w:eastAsia="zh-CN"/>
                    </w:rPr>
                    <w:t>-4</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rPr>
                  </w:pPr>
                  <w:r>
                    <w:rPr>
                      <w:rFonts w:hint="eastAsia" w:ascii="宋体" w:hAnsi="宋体" w:cs="宋体"/>
                      <w:szCs w:val="21"/>
                    </w:rPr>
                    <w:t>变电站</w:t>
                  </w:r>
                  <w:r>
                    <w:rPr>
                      <w:rFonts w:hint="eastAsia" w:ascii="宋体" w:hAnsi="宋体" w:cs="宋体"/>
                      <w:szCs w:val="21"/>
                      <w:lang w:val="en-US" w:eastAsia="zh-CN"/>
                    </w:rPr>
                    <w:t>东</w:t>
                  </w:r>
                  <w:r>
                    <w:rPr>
                      <w:rFonts w:hint="eastAsia" w:ascii="宋体" w:hAnsi="宋体" w:cs="宋体"/>
                      <w:szCs w:val="21"/>
                    </w:rPr>
                    <w:t>侧距围墙外</w:t>
                  </w:r>
                  <w:r>
                    <w:rPr>
                      <w:rFonts w:hint="eastAsia" w:ascii="宋体" w:hAnsi="宋体" w:cs="宋体"/>
                      <w:szCs w:val="21"/>
                      <w:lang w:val="en-US" w:eastAsia="zh-CN"/>
                    </w:rPr>
                    <w:t>20</w:t>
                  </w:r>
                  <w:r>
                    <w:rPr>
                      <w:rFonts w:hint="eastAsia" w:ascii="宋体" w:hAnsi="宋体" w:cs="宋体"/>
                      <w:szCs w:val="21"/>
                    </w:rPr>
                    <w:t>m处</w:t>
                  </w:r>
                  <w:r>
                    <w:rPr>
                      <w:rFonts w:hint="eastAsia" w:ascii="宋体" w:hAnsi="宋体" w:cs="宋体"/>
                      <w:szCs w:val="21"/>
                      <w:lang w:eastAsia="zh-CN"/>
                    </w:rPr>
                    <w:t>（</w:t>
                  </w:r>
                  <w:r>
                    <w:rPr>
                      <w:rFonts w:hint="eastAsia" w:ascii="宋体" w:hAnsi="宋体" w:cs="宋体"/>
                      <w:szCs w:val="21"/>
                      <w:lang w:val="en-US" w:eastAsia="zh-CN"/>
                    </w:rPr>
                    <w:t>#2主变东</w:t>
                  </w:r>
                  <w:r>
                    <w:rPr>
                      <w:rFonts w:hint="eastAsia" w:ascii="宋体" w:hAnsi="宋体" w:cs="宋体"/>
                      <w:szCs w:val="21"/>
                      <w:lang w:eastAsia="zh-CN"/>
                    </w:rPr>
                    <w:t>）</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rPr>
                  </w:pPr>
                  <w:r>
                    <w:rPr>
                      <w:rFonts w:hint="eastAsia" w:ascii="宋体" w:hAnsi="宋体" w:cs="宋体"/>
                      <w:szCs w:val="21"/>
                      <w:lang w:val="en-US" w:eastAsia="zh-CN"/>
                    </w:rPr>
                    <w:t xml:space="preserve">8.935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rPr>
                  </w:pPr>
                  <w:r>
                    <w:rPr>
                      <w:rFonts w:hint="eastAsia" w:ascii="宋体" w:hAnsi="宋体" w:cs="宋体"/>
                      <w:szCs w:val="21"/>
                      <w:lang w:val="en-US" w:eastAsia="zh-CN"/>
                    </w:rPr>
                    <w:t xml:space="preserve">0.656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lang w:val="en-US"/>
                    </w:rPr>
                  </w:pPr>
                  <w:r>
                    <w:rPr>
                      <w:rFonts w:hint="eastAsia" w:ascii="宋体" w:hAnsi="宋体" w:cs="宋体"/>
                      <w:szCs w:val="21"/>
                    </w:rPr>
                    <w:t>A2</w:t>
                  </w:r>
                  <w:r>
                    <w:rPr>
                      <w:rFonts w:hint="eastAsia" w:ascii="宋体" w:hAnsi="宋体" w:cs="宋体"/>
                      <w:szCs w:val="21"/>
                      <w:lang w:val="en-US" w:eastAsia="zh-CN"/>
                    </w:rPr>
                    <w:t>-5</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rPr>
                  </w:pPr>
                  <w:r>
                    <w:rPr>
                      <w:rFonts w:hint="eastAsia" w:ascii="宋体" w:hAnsi="宋体" w:cs="宋体"/>
                      <w:szCs w:val="21"/>
                    </w:rPr>
                    <w:t>变电站</w:t>
                  </w:r>
                  <w:r>
                    <w:rPr>
                      <w:rFonts w:hint="eastAsia" w:ascii="宋体" w:hAnsi="宋体" w:cs="宋体"/>
                      <w:szCs w:val="21"/>
                      <w:lang w:val="en-US" w:eastAsia="zh-CN"/>
                    </w:rPr>
                    <w:t>东</w:t>
                  </w:r>
                  <w:r>
                    <w:rPr>
                      <w:rFonts w:hint="eastAsia" w:ascii="宋体" w:hAnsi="宋体" w:cs="宋体"/>
                      <w:szCs w:val="21"/>
                    </w:rPr>
                    <w:t>侧距围墙外</w:t>
                  </w:r>
                  <w:r>
                    <w:rPr>
                      <w:rFonts w:hint="eastAsia" w:ascii="宋体" w:hAnsi="宋体" w:cs="宋体"/>
                      <w:szCs w:val="21"/>
                      <w:lang w:val="en-US" w:eastAsia="zh-CN"/>
                    </w:rPr>
                    <w:t>2</w:t>
                  </w:r>
                  <w:r>
                    <w:rPr>
                      <w:rFonts w:hint="eastAsia" w:ascii="宋体" w:hAnsi="宋体" w:cs="宋体"/>
                      <w:szCs w:val="21"/>
                    </w:rPr>
                    <w:t>5m处</w:t>
                  </w:r>
                  <w:r>
                    <w:rPr>
                      <w:rFonts w:hint="eastAsia" w:ascii="宋体" w:hAnsi="宋体" w:cs="宋体"/>
                      <w:szCs w:val="21"/>
                      <w:lang w:eastAsia="zh-CN"/>
                    </w:rPr>
                    <w:t>（</w:t>
                  </w:r>
                  <w:r>
                    <w:rPr>
                      <w:rFonts w:hint="eastAsia" w:ascii="宋体" w:hAnsi="宋体" w:cs="宋体"/>
                      <w:szCs w:val="21"/>
                      <w:lang w:val="en-US" w:eastAsia="zh-CN"/>
                    </w:rPr>
                    <w:t>#2主变东</w:t>
                  </w:r>
                  <w:r>
                    <w:rPr>
                      <w:rFonts w:hint="eastAsia" w:ascii="宋体" w:hAnsi="宋体" w:cs="宋体"/>
                      <w:szCs w:val="21"/>
                      <w:lang w:eastAsia="zh-CN"/>
                    </w:rPr>
                    <w:t>）</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rPr>
                  </w:pPr>
                  <w:r>
                    <w:rPr>
                      <w:rFonts w:hint="eastAsia" w:ascii="宋体" w:hAnsi="宋体" w:cs="宋体"/>
                      <w:szCs w:val="21"/>
                      <w:lang w:val="en-US" w:eastAsia="zh-CN"/>
                    </w:rPr>
                    <w:t xml:space="preserve">7.389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rPr>
                  </w:pPr>
                  <w:r>
                    <w:rPr>
                      <w:rFonts w:hint="eastAsia" w:ascii="宋体" w:hAnsi="宋体" w:cs="宋体"/>
                      <w:szCs w:val="21"/>
                      <w:lang w:val="en-US" w:eastAsia="zh-CN"/>
                    </w:rPr>
                    <w:t xml:space="preserve">0.414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cs="宋体"/>
                      <w:szCs w:val="21"/>
                      <w:lang w:val="en-US"/>
                    </w:rPr>
                  </w:pPr>
                  <w:r>
                    <w:rPr>
                      <w:rFonts w:hint="eastAsia" w:ascii="宋体" w:hAnsi="宋体" w:cs="宋体"/>
                      <w:szCs w:val="21"/>
                    </w:rPr>
                    <w:t>A2</w:t>
                  </w:r>
                  <w:r>
                    <w:rPr>
                      <w:rFonts w:hint="eastAsia" w:ascii="宋体" w:hAnsi="宋体" w:cs="宋体"/>
                      <w:szCs w:val="21"/>
                      <w:lang w:val="en-US" w:eastAsia="zh-CN"/>
                    </w:rPr>
                    <w:t>-6</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ascii="宋体" w:hAnsi="宋体"/>
                      <w:szCs w:val="21"/>
                    </w:rPr>
                  </w:pPr>
                  <w:r>
                    <w:rPr>
                      <w:rFonts w:hint="eastAsia" w:ascii="宋体" w:hAnsi="宋体" w:cs="宋体"/>
                      <w:szCs w:val="21"/>
                    </w:rPr>
                    <w:t>变电站</w:t>
                  </w:r>
                  <w:r>
                    <w:rPr>
                      <w:rFonts w:hint="eastAsia" w:ascii="宋体" w:hAnsi="宋体" w:cs="宋体"/>
                      <w:szCs w:val="21"/>
                      <w:lang w:val="en-US" w:eastAsia="zh-CN"/>
                    </w:rPr>
                    <w:t>东</w:t>
                  </w:r>
                  <w:r>
                    <w:rPr>
                      <w:rFonts w:hint="eastAsia" w:ascii="宋体" w:hAnsi="宋体" w:cs="宋体"/>
                      <w:szCs w:val="21"/>
                    </w:rPr>
                    <w:t>侧距围墙外</w:t>
                  </w:r>
                  <w:r>
                    <w:rPr>
                      <w:rFonts w:hint="eastAsia" w:ascii="宋体" w:hAnsi="宋体" w:cs="宋体"/>
                      <w:szCs w:val="21"/>
                      <w:lang w:val="en-US" w:eastAsia="zh-CN"/>
                    </w:rPr>
                    <w:t>30</w:t>
                  </w:r>
                  <w:r>
                    <w:rPr>
                      <w:rFonts w:hint="eastAsia" w:ascii="宋体" w:hAnsi="宋体" w:cs="宋体"/>
                      <w:szCs w:val="21"/>
                    </w:rPr>
                    <w:t>m处</w:t>
                  </w:r>
                  <w:r>
                    <w:rPr>
                      <w:rFonts w:hint="eastAsia" w:ascii="宋体" w:hAnsi="宋体" w:cs="宋体"/>
                      <w:szCs w:val="21"/>
                      <w:lang w:eastAsia="zh-CN"/>
                    </w:rPr>
                    <w:t>（</w:t>
                  </w:r>
                  <w:r>
                    <w:rPr>
                      <w:rFonts w:hint="eastAsia" w:ascii="宋体" w:hAnsi="宋体" w:cs="宋体"/>
                      <w:szCs w:val="21"/>
                      <w:lang w:val="en-US" w:eastAsia="zh-CN"/>
                    </w:rPr>
                    <w:t>#2主变东</w:t>
                  </w:r>
                  <w:r>
                    <w:rPr>
                      <w:rFonts w:hint="eastAsia" w:ascii="宋体" w:hAnsi="宋体" w:cs="宋体"/>
                      <w:szCs w:val="21"/>
                      <w:lang w:eastAsia="zh-CN"/>
                    </w:rPr>
                    <w:t>）</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lang w:val="en-US" w:eastAsia="zh-CN"/>
                    </w:rPr>
                    <w:t xml:space="preserve">6.950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lang w:val="en-US" w:eastAsia="zh-CN"/>
                    </w:rPr>
                    <w:t xml:space="preserve">0.310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cs="宋体"/>
                      <w:szCs w:val="21"/>
                      <w:lang w:val="en-US"/>
                    </w:rPr>
                  </w:pPr>
                  <w:r>
                    <w:rPr>
                      <w:rFonts w:hint="eastAsia" w:ascii="宋体" w:hAnsi="宋体" w:cs="宋体"/>
                      <w:szCs w:val="21"/>
                    </w:rPr>
                    <w:t>A2</w:t>
                  </w:r>
                  <w:r>
                    <w:rPr>
                      <w:rFonts w:hint="eastAsia" w:ascii="宋体" w:hAnsi="宋体" w:cs="宋体"/>
                      <w:szCs w:val="21"/>
                      <w:lang w:val="en-US" w:eastAsia="zh-CN"/>
                    </w:rPr>
                    <w:t>-7</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变电站</w:t>
                  </w:r>
                  <w:r>
                    <w:rPr>
                      <w:rFonts w:hint="eastAsia" w:ascii="宋体" w:hAnsi="宋体" w:cs="宋体"/>
                      <w:szCs w:val="21"/>
                      <w:lang w:val="en-US" w:eastAsia="zh-CN"/>
                    </w:rPr>
                    <w:t>东</w:t>
                  </w:r>
                  <w:r>
                    <w:rPr>
                      <w:rFonts w:hint="eastAsia" w:ascii="宋体" w:hAnsi="宋体" w:cs="宋体"/>
                      <w:szCs w:val="21"/>
                    </w:rPr>
                    <w:t>侧距围墙外</w:t>
                  </w:r>
                  <w:r>
                    <w:rPr>
                      <w:rFonts w:hint="eastAsia" w:ascii="宋体" w:hAnsi="宋体" w:cs="宋体"/>
                      <w:szCs w:val="21"/>
                      <w:lang w:val="en-US" w:eastAsia="zh-CN"/>
                    </w:rPr>
                    <w:t>3</w:t>
                  </w:r>
                  <w:r>
                    <w:rPr>
                      <w:rFonts w:hint="eastAsia" w:ascii="宋体" w:hAnsi="宋体" w:cs="宋体"/>
                      <w:szCs w:val="21"/>
                    </w:rPr>
                    <w:t>5m处</w:t>
                  </w:r>
                  <w:r>
                    <w:rPr>
                      <w:rFonts w:hint="eastAsia" w:ascii="宋体" w:hAnsi="宋体" w:cs="宋体"/>
                      <w:szCs w:val="21"/>
                      <w:lang w:eastAsia="zh-CN"/>
                    </w:rPr>
                    <w:t>（</w:t>
                  </w:r>
                  <w:r>
                    <w:rPr>
                      <w:rFonts w:hint="eastAsia" w:ascii="宋体" w:hAnsi="宋体" w:cs="宋体"/>
                      <w:szCs w:val="21"/>
                      <w:lang w:val="en-US" w:eastAsia="zh-CN"/>
                    </w:rPr>
                    <w:t>#2主变东</w:t>
                  </w:r>
                  <w:r>
                    <w:rPr>
                      <w:rFonts w:hint="eastAsia" w:ascii="宋体" w:hAnsi="宋体" w:cs="宋体"/>
                      <w:szCs w:val="21"/>
                      <w:lang w:eastAsia="zh-CN"/>
                    </w:rPr>
                    <w:t>）</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lang w:val="en-US" w:eastAsia="zh-CN"/>
                    </w:rPr>
                    <w:t xml:space="preserve">4.875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lang w:val="en-US" w:eastAsia="zh-CN"/>
                    </w:rPr>
                    <w:t xml:space="preserve">0.127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eastAsia="宋体" w:cs="宋体"/>
                      <w:szCs w:val="21"/>
                      <w:lang w:val="en-US" w:eastAsia="zh-CN"/>
                    </w:rPr>
                  </w:pPr>
                  <w:r>
                    <w:rPr>
                      <w:rFonts w:hint="eastAsia" w:ascii="宋体" w:hAnsi="宋体" w:cs="宋体"/>
                      <w:szCs w:val="21"/>
                    </w:rPr>
                    <w:t>A</w:t>
                  </w:r>
                  <w:r>
                    <w:rPr>
                      <w:rFonts w:hint="eastAsia" w:ascii="宋体" w:hAnsi="宋体" w:cs="宋体"/>
                      <w:szCs w:val="21"/>
                      <w:lang w:val="en-US" w:eastAsia="zh-CN"/>
                    </w:rPr>
                    <w:t>3</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ascii="宋体" w:hAnsi="宋体"/>
                      <w:szCs w:val="21"/>
                    </w:rPr>
                  </w:pPr>
                  <w:r>
                    <w:rPr>
                      <w:rFonts w:hint="eastAsia" w:ascii="宋体" w:hAnsi="宋体" w:cs="宋体"/>
                      <w:szCs w:val="21"/>
                    </w:rPr>
                    <w:t>变电站</w:t>
                  </w:r>
                  <w:r>
                    <w:rPr>
                      <w:rFonts w:hint="eastAsia" w:ascii="宋体" w:hAnsi="宋体" w:cs="宋体"/>
                      <w:szCs w:val="21"/>
                      <w:lang w:val="en-US" w:eastAsia="zh-CN"/>
                    </w:rPr>
                    <w:t>东</w:t>
                  </w:r>
                  <w:r>
                    <w:rPr>
                      <w:rFonts w:hint="eastAsia" w:ascii="宋体" w:hAnsi="宋体" w:cs="宋体"/>
                      <w:szCs w:val="21"/>
                    </w:rPr>
                    <w:t>侧距围墙外5m处</w:t>
                  </w:r>
                  <w:r>
                    <w:rPr>
                      <w:rFonts w:hint="eastAsia" w:ascii="宋体" w:hAnsi="宋体" w:cs="宋体"/>
                      <w:szCs w:val="21"/>
                      <w:lang w:val="en-US" w:eastAsia="zh-CN"/>
                    </w:rPr>
                    <w:t>（#3主变东）</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lang w:val="en-US" w:eastAsia="zh-CN"/>
                    </w:rPr>
                    <w:t xml:space="preserve">5.978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lang w:val="en-US" w:eastAsia="zh-CN"/>
                    </w:rPr>
                    <w:t xml:space="preserve">0.355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eastAsia="宋体" w:cs="宋体"/>
                      <w:szCs w:val="21"/>
                      <w:lang w:eastAsia="zh-CN"/>
                    </w:rPr>
                  </w:pPr>
                  <w:r>
                    <w:rPr>
                      <w:rFonts w:hint="eastAsia" w:ascii="宋体" w:hAnsi="宋体" w:cs="宋体"/>
                      <w:szCs w:val="21"/>
                    </w:rPr>
                    <w:t>A</w:t>
                  </w:r>
                  <w:r>
                    <w:rPr>
                      <w:rFonts w:hint="eastAsia" w:ascii="宋体" w:hAnsi="宋体" w:cs="宋体"/>
                      <w:szCs w:val="21"/>
                      <w:lang w:val="en-US" w:eastAsia="zh-CN"/>
                    </w:rPr>
                    <w:t>4</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变电站</w:t>
                  </w:r>
                  <w:r>
                    <w:rPr>
                      <w:rFonts w:hint="eastAsia" w:ascii="宋体" w:hAnsi="宋体" w:cs="宋体"/>
                      <w:szCs w:val="21"/>
                      <w:lang w:val="en-US" w:eastAsia="zh-CN"/>
                    </w:rPr>
                    <w:t>东</w:t>
                  </w:r>
                  <w:r>
                    <w:rPr>
                      <w:rFonts w:hint="eastAsia" w:ascii="宋体" w:hAnsi="宋体" w:cs="宋体"/>
                      <w:szCs w:val="21"/>
                    </w:rPr>
                    <w:t>侧距围墙外5m处</w:t>
                  </w:r>
                  <w:r>
                    <w:rPr>
                      <w:rFonts w:hint="eastAsia" w:ascii="宋体" w:hAnsi="宋体" w:cs="宋体"/>
                      <w:szCs w:val="21"/>
                      <w:lang w:val="en-US" w:eastAsia="zh-CN"/>
                    </w:rPr>
                    <w:t>（无功补偿区东）</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lang w:val="en-US" w:eastAsia="zh-CN"/>
                    </w:rPr>
                    <w:t xml:space="preserve">4.698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lang w:val="en-US" w:eastAsia="zh-CN"/>
                    </w:rPr>
                    <w:t xml:space="preserve">0.036 </w:t>
                  </w:r>
                </w:p>
              </w:tc>
            </w:tr>
            <w:tr>
              <w:tblPrEx>
                <w:tblLayout w:type="fixed"/>
                <w:tblCellMar>
                  <w:top w:w="0" w:type="dxa"/>
                  <w:left w:w="108" w:type="dxa"/>
                  <w:bottom w:w="0" w:type="dxa"/>
                  <w:right w:w="108" w:type="dxa"/>
                </w:tblCellMar>
              </w:tblPrEx>
              <w:trPr>
                <w:trHeight w:val="397" w:hRule="atLeast"/>
                <w:jc w:val="center"/>
              </w:trPr>
              <w:tc>
                <w:tcPr>
                  <w:tcW w:w="1087"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eastAsia="宋体" w:cs="宋体"/>
                      <w:szCs w:val="21"/>
                      <w:lang w:val="en-US" w:eastAsia="zh-CN"/>
                    </w:rPr>
                  </w:pPr>
                  <w:r>
                    <w:rPr>
                      <w:rFonts w:hint="eastAsia" w:ascii="宋体" w:hAnsi="宋体" w:cs="宋体"/>
                      <w:szCs w:val="21"/>
                    </w:rPr>
                    <w:t>A</w:t>
                  </w:r>
                  <w:r>
                    <w:rPr>
                      <w:rFonts w:hint="eastAsia" w:ascii="宋体" w:hAnsi="宋体" w:cs="宋体"/>
                      <w:szCs w:val="21"/>
                      <w:lang w:val="en-US" w:eastAsia="zh-CN"/>
                    </w:rPr>
                    <w:t>5</w:t>
                  </w:r>
                </w:p>
              </w:tc>
              <w:tc>
                <w:tcPr>
                  <w:tcW w:w="4049"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rPr>
                  </w:pPr>
                  <w:r>
                    <w:rPr>
                      <w:rFonts w:hint="eastAsia" w:ascii="宋体" w:hAnsi="宋体" w:cs="宋体"/>
                      <w:szCs w:val="21"/>
                    </w:rPr>
                    <w:t>变电站</w:t>
                  </w:r>
                  <w:r>
                    <w:rPr>
                      <w:rFonts w:hint="eastAsia" w:ascii="宋体" w:hAnsi="宋体" w:cs="宋体"/>
                      <w:szCs w:val="21"/>
                      <w:lang w:val="en-US" w:eastAsia="zh-CN"/>
                    </w:rPr>
                    <w:t>北</w:t>
                  </w:r>
                  <w:r>
                    <w:rPr>
                      <w:rFonts w:hint="eastAsia" w:ascii="宋体" w:hAnsi="宋体" w:cs="宋体"/>
                      <w:szCs w:val="21"/>
                    </w:rPr>
                    <w:t>侧距围墙外5m处</w:t>
                  </w:r>
                </w:p>
              </w:tc>
              <w:tc>
                <w:tcPr>
                  <w:tcW w:w="2111"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rPr>
                  </w:pPr>
                  <w:r>
                    <w:rPr>
                      <w:rFonts w:hint="eastAsia" w:ascii="宋体" w:hAnsi="宋体" w:cs="宋体"/>
                      <w:szCs w:val="21"/>
                      <w:lang w:val="en-US" w:eastAsia="zh-CN"/>
                    </w:rPr>
                    <w:t xml:space="preserve">6.319 </w:t>
                  </w:r>
                </w:p>
              </w:tc>
              <w:tc>
                <w:tcPr>
                  <w:tcW w:w="2180" w:type="dxa"/>
                  <w:tcBorders>
                    <w:top w:val="single" w:color="auto" w:sz="4" w:space="0"/>
                    <w:bottom w:val="single" w:color="auto" w:sz="4" w:space="0"/>
                    <w:right w:val="single" w:color="auto" w:sz="4" w:space="0"/>
                  </w:tcBorders>
                  <w:vAlign w:val="center"/>
                </w:tcPr>
                <w:p>
                  <w:pPr>
                    <w:spacing w:line="360" w:lineRule="exact"/>
                    <w:jc w:val="center"/>
                    <w:rPr>
                      <w:rFonts w:hint="eastAsia" w:ascii="宋体" w:hAnsi="宋体" w:cs="宋体"/>
                      <w:szCs w:val="21"/>
                    </w:rPr>
                  </w:pPr>
                  <w:r>
                    <w:rPr>
                      <w:rFonts w:hint="eastAsia" w:ascii="宋体" w:hAnsi="宋体" w:cs="宋体"/>
                      <w:szCs w:val="21"/>
                      <w:lang w:val="en-US" w:eastAsia="zh-CN"/>
                    </w:rPr>
                    <w:t xml:space="preserve">0.758 </w:t>
                  </w:r>
                </w:p>
              </w:tc>
            </w:tr>
            <w:tr>
              <w:tblPrEx>
                <w:tblLayout w:type="fixed"/>
                <w:tblCellMar>
                  <w:top w:w="0" w:type="dxa"/>
                  <w:left w:w="108" w:type="dxa"/>
                  <w:bottom w:w="0" w:type="dxa"/>
                  <w:right w:w="108" w:type="dxa"/>
                </w:tblCellMar>
              </w:tblPrEx>
              <w:trPr>
                <w:trHeight w:val="397" w:hRule="atLeast"/>
                <w:jc w:val="center"/>
              </w:trPr>
              <w:tc>
                <w:tcPr>
                  <w:tcW w:w="5136" w:type="dxa"/>
                  <w:gridSpan w:val="2"/>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hint="eastAsia" w:ascii="宋体" w:hAnsi="宋体" w:eastAsia="宋体" w:cs="宋体"/>
                      <w:szCs w:val="21"/>
                      <w:lang w:val="en-US" w:eastAsia="zh-CN"/>
                    </w:rPr>
                  </w:pPr>
                  <w:r>
                    <w:rPr>
                      <w:rFonts w:hint="eastAsia" w:ascii="宋体" w:hAnsi="宋体" w:cs="宋体"/>
                      <w:szCs w:val="21"/>
                      <w:lang w:val="en-US" w:eastAsia="zh-CN"/>
                    </w:rPr>
                    <w:t>范围</w:t>
                  </w:r>
                </w:p>
              </w:tc>
              <w:tc>
                <w:tcPr>
                  <w:tcW w:w="2111" w:type="dxa"/>
                  <w:tcBorders>
                    <w:top w:val="single" w:color="auto" w:sz="4" w:space="0"/>
                    <w:bottom w:val="single" w:color="auto" w:sz="4" w:space="0"/>
                    <w:right w:val="single" w:color="auto" w:sz="4" w:space="0"/>
                  </w:tcBorders>
                  <w:vAlign w:val="center"/>
                </w:tcPr>
                <w:p>
                  <w:pPr>
                    <w:widowControl/>
                    <w:jc w:val="center"/>
                    <w:textAlignment w:val="center"/>
                    <w:rPr>
                      <w:rFonts w:hint="eastAsia" w:ascii="宋体" w:hAnsi="宋体" w:cs="宋体"/>
                      <w:szCs w:val="21"/>
                    </w:rPr>
                  </w:pPr>
                  <w:r>
                    <w:rPr>
                      <w:rFonts w:hint="eastAsia" w:ascii="宋体" w:hAnsi="宋体"/>
                      <w:snapToGrid w:val="0"/>
                      <w:spacing w:val="-6"/>
                      <w:kern w:val="0"/>
                      <w:lang w:val="en-US" w:eastAsia="zh-CN"/>
                    </w:rPr>
                    <w:t>4.698</w:t>
                  </w:r>
                  <w:r>
                    <w:rPr>
                      <w:rFonts w:hint="eastAsia" w:ascii="宋体" w:hAnsi="宋体"/>
                      <w:snapToGrid w:val="0"/>
                      <w:spacing w:val="-6"/>
                      <w:kern w:val="0"/>
                    </w:rPr>
                    <w:t>～</w:t>
                  </w:r>
                  <w:r>
                    <w:rPr>
                      <w:rFonts w:hint="eastAsia" w:ascii="宋体" w:hAnsi="宋体"/>
                      <w:snapToGrid w:val="0"/>
                      <w:spacing w:val="-6"/>
                      <w:kern w:val="0"/>
                      <w:lang w:val="en-US" w:eastAsia="zh-CN"/>
                    </w:rPr>
                    <w:t>13.83</w:t>
                  </w:r>
                </w:p>
              </w:tc>
              <w:tc>
                <w:tcPr>
                  <w:tcW w:w="2180" w:type="dxa"/>
                  <w:tcBorders>
                    <w:top w:val="single" w:color="auto" w:sz="4" w:space="0"/>
                    <w:bottom w:val="single" w:color="auto" w:sz="4" w:space="0"/>
                    <w:right w:val="single" w:color="auto" w:sz="4" w:space="0"/>
                  </w:tcBorders>
                  <w:vAlign w:val="center"/>
                </w:tcPr>
                <w:p>
                  <w:pPr>
                    <w:jc w:val="center"/>
                    <w:rPr>
                      <w:rFonts w:hint="eastAsia" w:ascii="宋体" w:hAnsi="宋体" w:cs="宋体"/>
                      <w:szCs w:val="21"/>
                    </w:rPr>
                  </w:pPr>
                  <w:r>
                    <w:rPr>
                      <w:rFonts w:hint="eastAsia" w:ascii="宋体" w:hAnsi="宋体"/>
                      <w:snapToGrid w:val="0"/>
                      <w:spacing w:val="-6"/>
                      <w:kern w:val="0"/>
                      <w:lang w:val="en-US" w:eastAsia="zh-CN"/>
                    </w:rPr>
                    <w:t>0.036</w:t>
                  </w:r>
                  <w:r>
                    <w:rPr>
                      <w:rFonts w:hint="eastAsia" w:ascii="宋体" w:hAnsi="宋体"/>
                      <w:snapToGrid w:val="0"/>
                      <w:spacing w:val="-6"/>
                      <w:kern w:val="0"/>
                    </w:rPr>
                    <w:t>～</w:t>
                  </w:r>
                  <w:r>
                    <w:rPr>
                      <w:rFonts w:hint="eastAsia" w:ascii="宋体" w:hAnsi="宋体"/>
                      <w:snapToGrid w:val="0"/>
                      <w:spacing w:val="-6"/>
                      <w:kern w:val="0"/>
                      <w:lang w:val="en-US" w:eastAsia="zh-CN"/>
                    </w:rPr>
                    <w:t>0.848</w:t>
                  </w:r>
                </w:p>
              </w:tc>
            </w:tr>
          </w:tbl>
          <w:p>
            <w:pPr>
              <w:pStyle w:val="5"/>
              <w:spacing w:line="360" w:lineRule="auto"/>
              <w:ind w:firstLine="480"/>
              <w:rPr>
                <w:rFonts w:hAnsi="宋体"/>
                <w:kern w:val="0"/>
                <w:szCs w:val="24"/>
              </w:rPr>
            </w:pPr>
            <w:r>
              <w:rPr>
                <w:rFonts w:hint="eastAsia" w:hAnsi="宋体"/>
              </w:rPr>
              <w:t>由表3-6可知</w:t>
            </w:r>
            <w:r>
              <w:rPr>
                <w:rFonts w:hAnsi="宋体"/>
                <w:szCs w:val="32"/>
              </w:rPr>
              <w:t>，</w:t>
            </w:r>
            <w:r>
              <w:rPr>
                <w:rFonts w:hint="eastAsia" w:hAnsi="宋体"/>
                <w:szCs w:val="32"/>
              </w:rPr>
              <w:t>本工程</w:t>
            </w:r>
            <w:r>
              <w:rPr>
                <w:rFonts w:hint="eastAsia" w:hAnsi="宋体"/>
                <w:snapToGrid w:val="0"/>
                <w:kern w:val="0"/>
              </w:rPr>
              <w:t>变电站</w:t>
            </w:r>
            <w:r>
              <w:rPr>
                <w:rFonts w:hint="eastAsia" w:hAnsi="宋体"/>
                <w:snapToGrid w:val="0"/>
                <w:spacing w:val="-6"/>
                <w:kern w:val="0"/>
              </w:rPr>
              <w:t>周围</w:t>
            </w:r>
            <w:r>
              <w:rPr>
                <w:rFonts w:hint="eastAsia" w:hAnsi="宋体"/>
                <w:szCs w:val="32"/>
              </w:rPr>
              <w:t>工频电场强度为（</w:t>
            </w:r>
            <w:r>
              <w:rPr>
                <w:rFonts w:hint="eastAsia" w:hAnsi="宋体"/>
                <w:szCs w:val="32"/>
                <w:lang w:val="en-US" w:eastAsia="zh-CN"/>
              </w:rPr>
              <w:t>4.698</w:t>
            </w:r>
            <w:r>
              <w:rPr>
                <w:rFonts w:hint="eastAsia" w:hAnsi="宋体"/>
                <w:szCs w:val="32"/>
              </w:rPr>
              <w:t>～</w:t>
            </w:r>
            <w:r>
              <w:rPr>
                <w:rFonts w:hint="eastAsia" w:hAnsi="宋体"/>
                <w:szCs w:val="32"/>
                <w:lang w:val="en-US" w:eastAsia="zh-CN"/>
              </w:rPr>
              <w:t>13.83</w:t>
            </w:r>
            <w:r>
              <w:rPr>
                <w:rFonts w:hint="eastAsia" w:hAnsi="宋体"/>
                <w:szCs w:val="32"/>
              </w:rPr>
              <w:t>）V/m、磁感应强度为（</w:t>
            </w:r>
            <w:r>
              <w:rPr>
                <w:rFonts w:hint="eastAsia" w:hAnsi="宋体"/>
                <w:szCs w:val="32"/>
                <w:lang w:val="en-US" w:eastAsia="zh-CN"/>
              </w:rPr>
              <w:t>0.036</w:t>
            </w:r>
            <w:r>
              <w:rPr>
                <w:rFonts w:hint="eastAsia" w:hAnsi="宋体"/>
                <w:szCs w:val="32"/>
              </w:rPr>
              <w:t>～</w:t>
            </w:r>
            <w:r>
              <w:rPr>
                <w:rFonts w:hint="eastAsia" w:hAnsi="宋体"/>
                <w:szCs w:val="32"/>
                <w:lang w:val="en-US" w:eastAsia="zh-CN"/>
              </w:rPr>
              <w:t>0.848</w:t>
            </w:r>
            <w:r>
              <w:rPr>
                <w:rFonts w:hint="eastAsia" w:hAnsi="宋体"/>
                <w:szCs w:val="32"/>
              </w:rPr>
              <w:t>）μT,均满足《电磁环境控</w:t>
            </w:r>
            <w:r>
              <w:rPr>
                <w:rFonts w:hint="eastAsia" w:hAnsi="宋体"/>
                <w:snapToGrid w:val="0"/>
                <w:spacing w:val="-6"/>
                <w:kern w:val="0"/>
              </w:rPr>
              <w:t>制限值》（GB8702-2014）规定的工频电场强度公众曝露控制限值4000V/m、工频磁感应强度公众曝露控制限值100μT的要求。</w:t>
            </w:r>
          </w:p>
          <w:p>
            <w:pPr>
              <w:pStyle w:val="18"/>
              <w:spacing w:after="0" w:line="360" w:lineRule="auto"/>
              <w:ind w:firstLine="480" w:firstLineChars="200"/>
              <w:rPr>
                <w:rFonts w:ascii="宋体" w:hAnsi="宋体"/>
                <w:snapToGrid w:val="0"/>
                <w:kern w:val="0"/>
                <w:sz w:val="24"/>
              </w:rPr>
            </w:pPr>
            <w:r>
              <w:rPr>
                <w:rFonts w:hint="eastAsia" w:ascii="宋体" w:hAnsi="宋体"/>
                <w:snapToGrid w:val="0"/>
                <w:kern w:val="0"/>
                <w:sz w:val="24"/>
              </w:rPr>
              <w:t>（</w:t>
            </w:r>
            <w:r>
              <w:rPr>
                <w:rFonts w:ascii="宋体" w:hAnsi="宋体"/>
                <w:snapToGrid w:val="0"/>
                <w:kern w:val="0"/>
                <w:sz w:val="24"/>
              </w:rPr>
              <w:t>2</w:t>
            </w:r>
            <w:r>
              <w:rPr>
                <w:rFonts w:hint="eastAsia" w:ascii="宋体" w:hAnsi="宋体"/>
                <w:snapToGrid w:val="0"/>
                <w:kern w:val="0"/>
                <w:sz w:val="24"/>
              </w:rPr>
              <w:t>）输电线路周围电磁环境现状检测</w:t>
            </w:r>
          </w:p>
          <w:p>
            <w:pPr>
              <w:pStyle w:val="5"/>
              <w:spacing w:line="360" w:lineRule="auto"/>
              <w:ind w:firstLine="456"/>
              <w:rPr>
                <w:rFonts w:hAnsi="宋体"/>
                <w:snapToGrid w:val="0"/>
                <w:spacing w:val="-6"/>
                <w:kern w:val="0"/>
                <w:szCs w:val="24"/>
              </w:rPr>
            </w:pPr>
            <w:bookmarkStart w:id="4" w:name="_Hlk2345529"/>
            <w:r>
              <w:rPr>
                <w:rFonts w:hint="eastAsia" w:hAnsi="宋体"/>
                <w:snapToGrid w:val="0"/>
                <w:spacing w:val="-6"/>
                <w:kern w:val="0"/>
                <w:szCs w:val="24"/>
              </w:rPr>
              <w:t>本工程线路包括</w:t>
            </w:r>
            <w:r>
              <w:rPr>
                <w:rFonts w:hint="eastAsia" w:ascii="宋体" w:hAnsi="宋体"/>
                <w:szCs w:val="21"/>
              </w:rPr>
              <w:t>110</w:t>
            </w:r>
            <w:r>
              <w:rPr>
                <w:rFonts w:ascii="宋体" w:hAnsi="宋体"/>
                <w:szCs w:val="21"/>
              </w:rPr>
              <w:t>kV</w:t>
            </w:r>
            <w:r>
              <w:rPr>
                <w:rFonts w:hint="eastAsia" w:ascii="宋体" w:hAnsi="宋体"/>
                <w:szCs w:val="21"/>
                <w:lang w:val="en-US" w:eastAsia="zh-CN"/>
              </w:rPr>
              <w:t>鼓风I、II、III</w:t>
            </w:r>
            <w:r>
              <w:rPr>
                <w:rFonts w:hint="eastAsia" w:ascii="宋体" w:hAnsi="宋体"/>
                <w:szCs w:val="21"/>
              </w:rPr>
              <w:t>线</w:t>
            </w:r>
            <w:r>
              <w:rPr>
                <w:rFonts w:hint="eastAsia" w:hAnsi="宋体"/>
                <w:snapToGrid w:val="0"/>
                <w:spacing w:val="-6"/>
                <w:kern w:val="0"/>
                <w:szCs w:val="24"/>
              </w:rPr>
              <w:t>，均为空中电缆</w:t>
            </w:r>
            <w:r>
              <w:rPr>
                <w:rFonts w:hint="eastAsia" w:hAnsi="宋体"/>
                <w:snapToGrid w:val="0"/>
                <w:spacing w:val="-6"/>
                <w:kern w:val="0"/>
                <w:szCs w:val="24"/>
                <w:lang w:val="en-US" w:eastAsia="zh-CN"/>
              </w:rPr>
              <w:t>通</w:t>
            </w:r>
            <w:r>
              <w:rPr>
                <w:rFonts w:hint="eastAsia" w:hAnsi="宋体"/>
                <w:snapToGrid w:val="0"/>
                <w:spacing w:val="-6"/>
                <w:kern w:val="0"/>
                <w:szCs w:val="24"/>
              </w:rPr>
              <w:t>廊</w:t>
            </w:r>
            <w:r>
              <w:rPr>
                <w:rFonts w:hint="eastAsia" w:hAnsi="宋体"/>
                <w:snapToGrid w:val="0"/>
                <w:spacing w:val="-6"/>
                <w:kern w:val="0"/>
                <w:szCs w:val="24"/>
                <w:lang w:val="en-US" w:eastAsia="zh-CN"/>
              </w:rPr>
              <w:t>敷设</w:t>
            </w:r>
            <w:r>
              <w:rPr>
                <w:rFonts w:hint="eastAsia" w:hAnsi="宋体"/>
                <w:snapToGrid w:val="0"/>
                <w:spacing w:val="-6"/>
                <w:kern w:val="0"/>
                <w:szCs w:val="24"/>
              </w:rPr>
              <w:t>。线路周围无环境敏感目标。</w:t>
            </w:r>
          </w:p>
          <w:p>
            <w:pPr>
              <w:pStyle w:val="5"/>
              <w:spacing w:line="360" w:lineRule="auto"/>
              <w:ind w:firstLine="456"/>
              <w:rPr>
                <w:rFonts w:hAnsi="宋体"/>
                <w:snapToGrid w:val="0"/>
                <w:spacing w:val="-6"/>
                <w:kern w:val="0"/>
                <w:szCs w:val="24"/>
              </w:rPr>
            </w:pPr>
            <w:r>
              <w:rPr>
                <w:rFonts w:hint="eastAsia" w:hAnsi="宋体"/>
                <w:snapToGrid w:val="0"/>
                <w:spacing w:val="-6"/>
                <w:kern w:val="0"/>
                <w:szCs w:val="24"/>
              </w:rPr>
              <w:t>衰减断面：</w:t>
            </w:r>
            <w:r>
              <w:rPr>
                <w:rFonts w:hint="eastAsia" w:ascii="宋体" w:hAnsi="宋体"/>
                <w:szCs w:val="21"/>
              </w:rPr>
              <w:t>110</w:t>
            </w:r>
            <w:r>
              <w:rPr>
                <w:rFonts w:ascii="宋体" w:hAnsi="宋体"/>
                <w:szCs w:val="21"/>
              </w:rPr>
              <w:t>kV</w:t>
            </w:r>
            <w:r>
              <w:rPr>
                <w:rFonts w:hint="eastAsia" w:ascii="宋体" w:hAnsi="宋体"/>
                <w:szCs w:val="21"/>
                <w:lang w:val="en-US" w:eastAsia="zh-CN"/>
              </w:rPr>
              <w:t>鼓风I、II、III</w:t>
            </w:r>
            <w:r>
              <w:rPr>
                <w:rFonts w:hint="eastAsia" w:ascii="宋体" w:hAnsi="宋体"/>
                <w:szCs w:val="21"/>
              </w:rPr>
              <w:t>线</w:t>
            </w:r>
            <w:r>
              <w:rPr>
                <w:rFonts w:hint="eastAsia" w:hAnsi="宋体"/>
                <w:snapToGrid w:val="0"/>
                <w:spacing w:val="-6"/>
                <w:kern w:val="0"/>
                <w:szCs w:val="24"/>
                <w:lang w:val="en-US" w:eastAsia="zh-CN"/>
              </w:rPr>
              <w:t>三</w:t>
            </w:r>
            <w:r>
              <w:rPr>
                <w:rFonts w:hint="eastAsia" w:hAnsi="宋体"/>
                <w:snapToGrid w:val="0"/>
                <w:spacing w:val="-6"/>
                <w:kern w:val="0"/>
                <w:szCs w:val="24"/>
              </w:rPr>
              <w:t>回空中电缆</w:t>
            </w:r>
            <w:r>
              <w:rPr>
                <w:rFonts w:hint="eastAsia" w:hAnsi="宋体"/>
                <w:snapToGrid w:val="0"/>
                <w:spacing w:val="-6"/>
                <w:kern w:val="0"/>
                <w:szCs w:val="24"/>
                <w:lang w:val="en-US" w:eastAsia="zh-CN"/>
              </w:rPr>
              <w:t>通</w:t>
            </w:r>
            <w:r>
              <w:rPr>
                <w:rFonts w:hint="eastAsia" w:hAnsi="宋体"/>
                <w:snapToGrid w:val="0"/>
                <w:spacing w:val="-6"/>
                <w:kern w:val="0"/>
                <w:szCs w:val="24"/>
              </w:rPr>
              <w:t>廊衰减断面设在</w:t>
            </w:r>
            <w:r>
              <w:rPr>
                <w:rFonts w:hint="eastAsia" w:hAnsi="宋体"/>
                <w:snapToGrid w:val="0"/>
                <w:spacing w:val="-6"/>
                <w:kern w:val="0"/>
                <w:szCs w:val="24"/>
                <w:lang w:val="en-US" w:eastAsia="zh-CN"/>
              </w:rPr>
              <w:t>经四路</w:t>
            </w:r>
            <w:r>
              <w:rPr>
                <w:rFonts w:hint="eastAsia" w:hAnsi="宋体"/>
                <w:snapToGrid w:val="0"/>
                <w:spacing w:val="-6"/>
                <w:kern w:val="0"/>
                <w:szCs w:val="24"/>
              </w:rPr>
              <w:t>西侧段，向</w:t>
            </w:r>
            <w:r>
              <w:rPr>
                <w:rFonts w:hint="eastAsia" w:hAnsi="宋体"/>
                <w:snapToGrid w:val="0"/>
                <w:spacing w:val="-6"/>
                <w:kern w:val="0"/>
                <w:szCs w:val="24"/>
                <w:lang w:val="en-US" w:eastAsia="zh-CN"/>
              </w:rPr>
              <w:t>东</w:t>
            </w:r>
            <w:r>
              <w:rPr>
                <w:rFonts w:hint="eastAsia" w:hAnsi="宋体"/>
                <w:snapToGrid w:val="0"/>
                <w:spacing w:val="-6"/>
                <w:kern w:val="0"/>
                <w:szCs w:val="24"/>
              </w:rPr>
              <w:t>衰减，管廊高度为5m，见图3-1。</w:t>
            </w:r>
            <w:r>
              <w:rPr>
                <w:rFonts w:hint="eastAsia" w:hAnsi="宋体"/>
              </w:rPr>
              <w:t>线路</w:t>
            </w:r>
            <w:r>
              <w:rPr>
                <w:rFonts w:hint="eastAsia" w:hAnsi="宋体" w:cs="宋体"/>
                <w:color w:val="000000"/>
              </w:rPr>
              <w:t>周围</w:t>
            </w:r>
            <w:r>
              <w:rPr>
                <w:rFonts w:hint="eastAsia" w:hAnsi="宋体"/>
              </w:rPr>
              <w:t>工频电场强度和工频磁感应强度监测结果见表3-7。</w:t>
            </w:r>
            <w:bookmarkEnd w:id="4"/>
          </w:p>
          <w:p>
            <w:pPr>
              <w:spacing w:before="156" w:beforeLines="50" w:after="62" w:afterLines="20"/>
              <w:jc w:val="center"/>
              <w:rPr>
                <w:rFonts w:ascii="宋体" w:hAnsi="宋体"/>
                <w:sz w:val="24"/>
              </w:rPr>
            </w:pPr>
            <w:r>
              <w:rPr>
                <w:rFonts w:hint="eastAsia" w:ascii="宋体" w:hAnsi="宋体"/>
                <w:b/>
                <w:sz w:val="24"/>
              </w:rPr>
              <w:t xml:space="preserve">表3-7 </w:t>
            </w:r>
            <w:r>
              <w:rPr>
                <w:rFonts w:hint="eastAsia" w:ascii="宋体" w:hAnsi="宋体" w:cs="宋体"/>
                <w:b/>
                <w:color w:val="000000"/>
                <w:sz w:val="24"/>
              </w:rPr>
              <w:t>线路周围</w:t>
            </w:r>
            <w:r>
              <w:rPr>
                <w:rFonts w:hint="eastAsia" w:ascii="宋体" w:hAnsi="宋体"/>
                <w:b/>
                <w:spacing w:val="-10"/>
                <w:sz w:val="24"/>
              </w:rPr>
              <w:t>工频电场强度和工频磁感应强度监测结果</w:t>
            </w:r>
          </w:p>
          <w:tbl>
            <w:tblPr>
              <w:tblStyle w:val="22"/>
              <w:tblW w:w="859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33"/>
              <w:gridCol w:w="4343"/>
              <w:gridCol w:w="1760"/>
              <w:gridCol w:w="17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tblHeader/>
                <w:jc w:val="center"/>
              </w:trPr>
              <w:tc>
                <w:tcPr>
                  <w:tcW w:w="733" w:type="dxa"/>
                  <w:tcBorders>
                    <w:tl2br w:val="nil"/>
                    <w:tr2bl w:val="nil"/>
                  </w:tcBorders>
                  <w:vAlign w:val="center"/>
                </w:tcPr>
                <w:p>
                  <w:pPr>
                    <w:jc w:val="center"/>
                    <w:rPr>
                      <w:rFonts w:asciiTheme="minorEastAsia" w:hAnsiTheme="minorEastAsia" w:eastAsiaTheme="minorEastAsia"/>
                      <w:szCs w:val="21"/>
                    </w:rPr>
                  </w:pPr>
                  <w:r>
                    <w:rPr>
                      <w:rFonts w:asciiTheme="minorEastAsia" w:hAnsiTheme="minorEastAsia" w:eastAsiaTheme="minorEastAsia"/>
                      <w:szCs w:val="21"/>
                    </w:rPr>
                    <w:t>编号</w:t>
                  </w:r>
                </w:p>
              </w:tc>
              <w:tc>
                <w:tcPr>
                  <w:tcW w:w="4343" w:type="dxa"/>
                  <w:tcBorders>
                    <w:tl2br w:val="nil"/>
                    <w:tr2bl w:val="nil"/>
                  </w:tcBorders>
                  <w:vAlign w:val="center"/>
                </w:tcPr>
                <w:p>
                  <w:pPr>
                    <w:jc w:val="center"/>
                    <w:rPr>
                      <w:rFonts w:asciiTheme="minorEastAsia" w:hAnsiTheme="minorEastAsia" w:eastAsiaTheme="minorEastAsia"/>
                      <w:szCs w:val="21"/>
                    </w:rPr>
                  </w:pPr>
                  <w:r>
                    <w:rPr>
                      <w:rFonts w:asciiTheme="minorEastAsia" w:hAnsiTheme="minorEastAsia" w:eastAsiaTheme="minorEastAsia"/>
                      <w:szCs w:val="21"/>
                    </w:rPr>
                    <w:t>测点位置</w:t>
                  </w:r>
                </w:p>
              </w:tc>
              <w:tc>
                <w:tcPr>
                  <w:tcW w:w="1760" w:type="dxa"/>
                  <w:tcBorders>
                    <w:tl2br w:val="nil"/>
                    <w:tr2bl w:val="nil"/>
                  </w:tcBorders>
                  <w:vAlign w:val="center"/>
                </w:tcPr>
                <w:p>
                  <w:pPr>
                    <w:spacing w:line="240" w:lineRule="exact"/>
                    <w:jc w:val="center"/>
                    <w:rPr>
                      <w:rFonts w:asciiTheme="minorEastAsia" w:hAnsiTheme="minorEastAsia" w:eastAsiaTheme="minorEastAsia"/>
                      <w:szCs w:val="21"/>
                    </w:rPr>
                  </w:pPr>
                  <w:r>
                    <w:rPr>
                      <w:rFonts w:asciiTheme="minorEastAsia" w:hAnsiTheme="minorEastAsia" w:eastAsiaTheme="minorEastAsia"/>
                      <w:szCs w:val="21"/>
                    </w:rPr>
                    <w:t>工频电场强度</w:t>
                  </w:r>
                </w:p>
                <w:p>
                  <w:pPr>
                    <w:spacing w:line="240" w:lineRule="exact"/>
                    <w:jc w:val="center"/>
                    <w:rPr>
                      <w:rFonts w:asciiTheme="minorEastAsia" w:hAnsiTheme="minorEastAsia" w:eastAsiaTheme="minorEastAsia"/>
                      <w:szCs w:val="21"/>
                    </w:rPr>
                  </w:pPr>
                  <w:r>
                    <w:rPr>
                      <w:rFonts w:asciiTheme="minorEastAsia" w:hAnsiTheme="minorEastAsia" w:eastAsiaTheme="minorEastAsia"/>
                      <w:szCs w:val="21"/>
                    </w:rPr>
                    <w:t>（V/m）</w:t>
                  </w:r>
                </w:p>
              </w:tc>
              <w:tc>
                <w:tcPr>
                  <w:tcW w:w="1761" w:type="dxa"/>
                  <w:tcBorders>
                    <w:tl2br w:val="nil"/>
                    <w:tr2bl w:val="nil"/>
                  </w:tcBorders>
                  <w:vAlign w:val="center"/>
                </w:tcPr>
                <w:p>
                  <w:pPr>
                    <w:spacing w:line="240" w:lineRule="exact"/>
                    <w:jc w:val="center"/>
                    <w:rPr>
                      <w:rFonts w:asciiTheme="minorEastAsia" w:hAnsiTheme="minorEastAsia" w:eastAsiaTheme="minorEastAsia"/>
                      <w:szCs w:val="21"/>
                    </w:rPr>
                  </w:pPr>
                  <w:r>
                    <w:rPr>
                      <w:rFonts w:asciiTheme="minorEastAsia" w:hAnsiTheme="minorEastAsia" w:eastAsiaTheme="minorEastAsia"/>
                      <w:szCs w:val="21"/>
                    </w:rPr>
                    <w:t>工频磁感应强度</w:t>
                  </w:r>
                </w:p>
                <w:p>
                  <w:pPr>
                    <w:spacing w:line="240" w:lineRule="exact"/>
                    <w:jc w:val="center"/>
                    <w:rPr>
                      <w:rFonts w:asciiTheme="minorEastAsia" w:hAnsiTheme="minorEastAsia" w:eastAsiaTheme="minorEastAsia"/>
                      <w:szCs w:val="21"/>
                    </w:rPr>
                  </w:pPr>
                  <w:r>
                    <w:rPr>
                      <w:rFonts w:asciiTheme="minorEastAsia" w:hAnsiTheme="minorEastAsia" w:eastAsiaTheme="minorEastAsia"/>
                      <w:szCs w:val="21"/>
                    </w:rPr>
                    <w:t>（μT）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Theme="minorEastAsia" w:hAnsiTheme="minorEastAsia" w:eastAsiaTheme="minorEastAsia"/>
                      <w:color w:val="000000"/>
                      <w:szCs w:val="21"/>
                    </w:rPr>
                  </w:pPr>
                  <w:r>
                    <w:rPr>
                      <w:rFonts w:hint="eastAsia" w:asciiTheme="minorEastAsia" w:hAnsiTheme="minorEastAsia" w:eastAsiaTheme="minorEastAsia"/>
                      <w:color w:val="000000"/>
                      <w:szCs w:val="21"/>
                    </w:rPr>
                    <w:t>B</w:t>
                  </w:r>
                  <w:r>
                    <w:rPr>
                      <w:rFonts w:asciiTheme="minorEastAsia" w:hAnsiTheme="minorEastAsia" w:eastAsiaTheme="minorEastAsia"/>
                      <w:color w:val="000000"/>
                      <w:szCs w:val="21"/>
                    </w:rPr>
                    <w:t>1-1</w:t>
                  </w:r>
                </w:p>
              </w:tc>
              <w:tc>
                <w:tcPr>
                  <w:tcW w:w="4343"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asciiTheme="minorEastAsia" w:hAnsiTheme="minorEastAsia" w:eastAsiaTheme="minorEastAsia"/>
                      <w:szCs w:val="21"/>
                    </w:rPr>
                    <w:t>衰减断面测试原点处</w:t>
                  </w:r>
                </w:p>
              </w:tc>
              <w:tc>
                <w:tcPr>
                  <w:tcW w:w="1760" w:type="dxa"/>
                  <w:tcBorders>
                    <w:tl2br w:val="nil"/>
                    <w:tr2bl w:val="nil"/>
                  </w:tcBorders>
                  <w:vAlign w:val="center"/>
                </w:tcPr>
                <w:p>
                  <w:pPr>
                    <w:jc w:val="center"/>
                    <w:rPr>
                      <w:rFonts w:asciiTheme="minorEastAsia" w:hAnsiTheme="minorEastAsia" w:eastAsiaTheme="minorEastAsia"/>
                      <w:szCs w:val="21"/>
                    </w:rPr>
                  </w:pPr>
                  <w:r>
                    <w:rPr>
                      <w:rFonts w:hint="eastAsia" w:asciiTheme="minorEastAsia" w:hAnsiTheme="minorEastAsia" w:eastAsiaTheme="minorEastAsia"/>
                      <w:color w:val="000000"/>
                      <w:szCs w:val="21"/>
                      <w:lang w:val="en-US" w:eastAsia="zh-CN"/>
                    </w:rPr>
                    <w:t xml:space="preserve">17.14 </w:t>
                  </w:r>
                </w:p>
              </w:tc>
              <w:tc>
                <w:tcPr>
                  <w:tcW w:w="1761" w:type="dxa"/>
                  <w:tcBorders>
                    <w:tl2br w:val="nil"/>
                    <w:tr2bl w:val="nil"/>
                  </w:tcBorders>
                  <w:vAlign w:val="center"/>
                </w:tcPr>
                <w:p>
                  <w:pPr>
                    <w:jc w:val="center"/>
                    <w:rPr>
                      <w:rFonts w:ascii="宋体" w:hAnsi="宋体"/>
                      <w:szCs w:val="21"/>
                    </w:rPr>
                  </w:pPr>
                  <w:r>
                    <w:rPr>
                      <w:rFonts w:hint="eastAsia" w:asciiTheme="minorEastAsia" w:hAnsiTheme="minorEastAsia" w:eastAsiaTheme="minorEastAsia"/>
                      <w:color w:val="000000"/>
                      <w:szCs w:val="21"/>
                      <w:lang w:val="en-US" w:eastAsia="zh-CN"/>
                    </w:rPr>
                    <w:t xml:space="preserve">0.034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Theme="minorEastAsia" w:hAnsiTheme="minorEastAsia" w:eastAsiaTheme="minorEastAsia"/>
                      <w:color w:val="000000"/>
                      <w:szCs w:val="21"/>
                    </w:rPr>
                  </w:pPr>
                  <w:r>
                    <w:rPr>
                      <w:rFonts w:hint="eastAsia" w:asciiTheme="minorEastAsia" w:hAnsiTheme="minorEastAsia" w:eastAsiaTheme="minorEastAsia"/>
                      <w:color w:val="000000"/>
                      <w:szCs w:val="21"/>
                    </w:rPr>
                    <w:t>B</w:t>
                  </w:r>
                  <w:r>
                    <w:rPr>
                      <w:rFonts w:asciiTheme="minorEastAsia" w:hAnsiTheme="minorEastAsia" w:eastAsiaTheme="minorEastAsia"/>
                      <w:color w:val="000000"/>
                      <w:szCs w:val="21"/>
                    </w:rPr>
                    <w:t>1-2</w:t>
                  </w:r>
                </w:p>
              </w:tc>
              <w:tc>
                <w:tcPr>
                  <w:tcW w:w="4343"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asciiTheme="minorEastAsia" w:hAnsiTheme="minorEastAsia" w:eastAsiaTheme="minorEastAsia"/>
                      <w:szCs w:val="21"/>
                    </w:rPr>
                    <w:t>衰减断面测试原点</w:t>
                  </w:r>
                  <w:r>
                    <w:rPr>
                      <w:rFonts w:hint="eastAsia" w:asciiTheme="minorEastAsia" w:hAnsiTheme="minorEastAsia" w:eastAsiaTheme="minorEastAsia"/>
                      <w:szCs w:val="21"/>
                      <w:lang w:val="en-US" w:eastAsia="zh-CN"/>
                    </w:rPr>
                    <w:t>东</w:t>
                  </w:r>
                  <w:r>
                    <w:rPr>
                      <w:rFonts w:asciiTheme="minorEastAsia" w:hAnsiTheme="minorEastAsia" w:eastAsiaTheme="minorEastAsia"/>
                      <w:szCs w:val="21"/>
                    </w:rPr>
                    <w:t>侧1m处</w:t>
                  </w:r>
                </w:p>
              </w:tc>
              <w:tc>
                <w:tcPr>
                  <w:tcW w:w="1760" w:type="dxa"/>
                  <w:tcBorders>
                    <w:tl2br w:val="nil"/>
                    <w:tr2bl w:val="nil"/>
                  </w:tcBorders>
                  <w:vAlign w:val="center"/>
                </w:tcPr>
                <w:p>
                  <w:pPr>
                    <w:jc w:val="center"/>
                    <w:rPr>
                      <w:rFonts w:asciiTheme="minorEastAsia" w:hAnsiTheme="minorEastAsia" w:eastAsiaTheme="minorEastAsia"/>
                      <w:szCs w:val="21"/>
                    </w:rPr>
                  </w:pPr>
                  <w:r>
                    <w:rPr>
                      <w:rFonts w:hint="eastAsia" w:asciiTheme="minorEastAsia" w:hAnsiTheme="minorEastAsia" w:eastAsiaTheme="minorEastAsia"/>
                      <w:color w:val="000000"/>
                      <w:szCs w:val="21"/>
                      <w:lang w:val="en-US" w:eastAsia="zh-CN"/>
                    </w:rPr>
                    <w:t xml:space="preserve">15.69 </w:t>
                  </w:r>
                </w:p>
              </w:tc>
              <w:tc>
                <w:tcPr>
                  <w:tcW w:w="1761" w:type="dxa"/>
                  <w:tcBorders>
                    <w:tl2br w:val="nil"/>
                    <w:tr2bl w:val="nil"/>
                  </w:tcBorders>
                  <w:vAlign w:val="center"/>
                </w:tcPr>
                <w:p>
                  <w:pPr>
                    <w:jc w:val="center"/>
                    <w:rPr>
                      <w:rFonts w:ascii="宋体" w:hAnsi="宋体"/>
                      <w:szCs w:val="21"/>
                    </w:rPr>
                  </w:pPr>
                  <w:r>
                    <w:rPr>
                      <w:rFonts w:hint="eastAsia" w:asciiTheme="minorEastAsia" w:hAnsiTheme="minorEastAsia" w:eastAsiaTheme="minorEastAsia"/>
                      <w:color w:val="000000"/>
                      <w:szCs w:val="21"/>
                      <w:lang w:val="en-US" w:eastAsia="zh-CN"/>
                    </w:rPr>
                    <w:t xml:space="preserve">0.032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Theme="minorEastAsia" w:hAnsiTheme="minorEastAsia" w:eastAsiaTheme="minorEastAsia"/>
                      <w:color w:val="000000"/>
                      <w:szCs w:val="21"/>
                    </w:rPr>
                  </w:pPr>
                  <w:r>
                    <w:rPr>
                      <w:rFonts w:hint="eastAsia" w:asciiTheme="minorEastAsia" w:hAnsiTheme="minorEastAsia" w:eastAsiaTheme="minorEastAsia"/>
                      <w:color w:val="000000"/>
                      <w:szCs w:val="21"/>
                    </w:rPr>
                    <w:t>B</w:t>
                  </w:r>
                  <w:r>
                    <w:rPr>
                      <w:rFonts w:asciiTheme="minorEastAsia" w:hAnsiTheme="minorEastAsia" w:eastAsiaTheme="minorEastAsia"/>
                      <w:color w:val="000000"/>
                      <w:szCs w:val="21"/>
                    </w:rPr>
                    <w:t>1-3</w:t>
                  </w:r>
                </w:p>
              </w:tc>
              <w:tc>
                <w:tcPr>
                  <w:tcW w:w="4343"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asciiTheme="minorEastAsia" w:hAnsiTheme="minorEastAsia" w:eastAsiaTheme="minorEastAsia"/>
                      <w:szCs w:val="21"/>
                    </w:rPr>
                    <w:t>衰减断面测试原点</w:t>
                  </w:r>
                  <w:r>
                    <w:rPr>
                      <w:rFonts w:hint="eastAsia" w:asciiTheme="minorEastAsia" w:hAnsiTheme="minorEastAsia" w:eastAsiaTheme="minorEastAsia"/>
                      <w:szCs w:val="21"/>
                      <w:lang w:val="en-US" w:eastAsia="zh-CN"/>
                    </w:rPr>
                    <w:t>东</w:t>
                  </w:r>
                  <w:r>
                    <w:rPr>
                      <w:rFonts w:asciiTheme="minorEastAsia" w:hAnsiTheme="minorEastAsia" w:eastAsiaTheme="minorEastAsia"/>
                      <w:szCs w:val="21"/>
                    </w:rPr>
                    <w:t>侧2m处</w:t>
                  </w:r>
                </w:p>
              </w:tc>
              <w:tc>
                <w:tcPr>
                  <w:tcW w:w="1760" w:type="dxa"/>
                  <w:tcBorders>
                    <w:tl2br w:val="nil"/>
                    <w:tr2bl w:val="nil"/>
                  </w:tcBorders>
                  <w:vAlign w:val="center"/>
                </w:tcPr>
                <w:p>
                  <w:pPr>
                    <w:jc w:val="center"/>
                    <w:rPr>
                      <w:rFonts w:asciiTheme="minorEastAsia" w:hAnsiTheme="minorEastAsia" w:eastAsiaTheme="minorEastAsia"/>
                      <w:szCs w:val="21"/>
                    </w:rPr>
                  </w:pPr>
                  <w:r>
                    <w:rPr>
                      <w:rFonts w:hint="eastAsia" w:asciiTheme="minorEastAsia" w:hAnsiTheme="minorEastAsia" w:eastAsiaTheme="minorEastAsia"/>
                      <w:color w:val="000000"/>
                      <w:szCs w:val="21"/>
                      <w:lang w:val="en-US" w:eastAsia="zh-CN"/>
                    </w:rPr>
                    <w:t xml:space="preserve">14.24 </w:t>
                  </w:r>
                </w:p>
              </w:tc>
              <w:tc>
                <w:tcPr>
                  <w:tcW w:w="1761" w:type="dxa"/>
                  <w:tcBorders>
                    <w:tl2br w:val="nil"/>
                    <w:tr2bl w:val="nil"/>
                  </w:tcBorders>
                  <w:vAlign w:val="center"/>
                </w:tcPr>
                <w:p>
                  <w:pPr>
                    <w:jc w:val="center"/>
                    <w:rPr>
                      <w:rFonts w:ascii="宋体" w:hAnsi="宋体"/>
                      <w:szCs w:val="21"/>
                    </w:rPr>
                  </w:pPr>
                  <w:r>
                    <w:rPr>
                      <w:rFonts w:hint="eastAsia" w:asciiTheme="minorEastAsia" w:hAnsiTheme="minorEastAsia" w:eastAsiaTheme="minorEastAsia"/>
                      <w:color w:val="000000"/>
                      <w:szCs w:val="21"/>
                      <w:lang w:val="en-US" w:eastAsia="zh-CN"/>
                    </w:rPr>
                    <w:t xml:space="preserve">0.027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Theme="minorEastAsia" w:hAnsiTheme="minorEastAsia" w:eastAsiaTheme="minorEastAsia"/>
                      <w:color w:val="000000"/>
                      <w:szCs w:val="21"/>
                    </w:rPr>
                  </w:pPr>
                  <w:r>
                    <w:rPr>
                      <w:rFonts w:hint="eastAsia" w:asciiTheme="minorEastAsia" w:hAnsiTheme="minorEastAsia" w:eastAsiaTheme="minorEastAsia"/>
                      <w:color w:val="000000"/>
                      <w:szCs w:val="21"/>
                    </w:rPr>
                    <w:t>B</w:t>
                  </w:r>
                  <w:r>
                    <w:rPr>
                      <w:rFonts w:asciiTheme="minorEastAsia" w:hAnsiTheme="minorEastAsia" w:eastAsiaTheme="minorEastAsia"/>
                      <w:color w:val="000000"/>
                      <w:szCs w:val="21"/>
                    </w:rPr>
                    <w:t>1-4</w:t>
                  </w:r>
                </w:p>
              </w:tc>
              <w:tc>
                <w:tcPr>
                  <w:tcW w:w="4343"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asciiTheme="minorEastAsia" w:hAnsiTheme="minorEastAsia" w:eastAsiaTheme="minorEastAsia"/>
                      <w:szCs w:val="21"/>
                    </w:rPr>
                    <w:t>衰减断面测试原点</w:t>
                  </w:r>
                  <w:r>
                    <w:rPr>
                      <w:rFonts w:hint="eastAsia" w:asciiTheme="minorEastAsia" w:hAnsiTheme="minorEastAsia" w:eastAsiaTheme="minorEastAsia"/>
                      <w:szCs w:val="21"/>
                      <w:lang w:val="en-US" w:eastAsia="zh-CN"/>
                    </w:rPr>
                    <w:t>东</w:t>
                  </w:r>
                  <w:r>
                    <w:rPr>
                      <w:rFonts w:asciiTheme="minorEastAsia" w:hAnsiTheme="minorEastAsia" w:eastAsiaTheme="minorEastAsia"/>
                      <w:szCs w:val="21"/>
                    </w:rPr>
                    <w:t>侧3m处</w:t>
                  </w:r>
                </w:p>
              </w:tc>
              <w:tc>
                <w:tcPr>
                  <w:tcW w:w="1760" w:type="dxa"/>
                  <w:tcBorders>
                    <w:tl2br w:val="nil"/>
                    <w:tr2bl w:val="nil"/>
                  </w:tcBorders>
                  <w:vAlign w:val="center"/>
                </w:tcPr>
                <w:p>
                  <w:pPr>
                    <w:jc w:val="center"/>
                    <w:rPr>
                      <w:rFonts w:asciiTheme="minorEastAsia" w:hAnsiTheme="minorEastAsia" w:eastAsiaTheme="minorEastAsia"/>
                      <w:szCs w:val="21"/>
                    </w:rPr>
                  </w:pPr>
                  <w:r>
                    <w:rPr>
                      <w:rFonts w:hint="eastAsia" w:asciiTheme="minorEastAsia" w:hAnsiTheme="minorEastAsia" w:eastAsiaTheme="minorEastAsia"/>
                      <w:color w:val="000000"/>
                      <w:szCs w:val="21"/>
                      <w:lang w:val="en-US" w:eastAsia="zh-CN"/>
                    </w:rPr>
                    <w:t xml:space="preserve">11.98 </w:t>
                  </w:r>
                </w:p>
              </w:tc>
              <w:tc>
                <w:tcPr>
                  <w:tcW w:w="1761" w:type="dxa"/>
                  <w:tcBorders>
                    <w:tl2br w:val="nil"/>
                    <w:tr2bl w:val="nil"/>
                  </w:tcBorders>
                  <w:vAlign w:val="center"/>
                </w:tcPr>
                <w:p>
                  <w:pPr>
                    <w:jc w:val="center"/>
                    <w:rPr>
                      <w:rFonts w:ascii="宋体" w:hAnsi="宋体"/>
                      <w:szCs w:val="21"/>
                    </w:rPr>
                  </w:pPr>
                  <w:r>
                    <w:rPr>
                      <w:rFonts w:hint="eastAsia" w:asciiTheme="minorEastAsia" w:hAnsiTheme="minorEastAsia" w:eastAsiaTheme="minorEastAsia"/>
                      <w:color w:val="000000"/>
                      <w:szCs w:val="21"/>
                      <w:lang w:val="en-US" w:eastAsia="zh-CN"/>
                    </w:rPr>
                    <w:t xml:space="preserve">0.017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Theme="minorEastAsia" w:hAnsiTheme="minorEastAsia" w:eastAsiaTheme="minorEastAsia"/>
                      <w:color w:val="000000"/>
                      <w:szCs w:val="21"/>
                    </w:rPr>
                  </w:pPr>
                  <w:r>
                    <w:rPr>
                      <w:rFonts w:hint="eastAsia" w:asciiTheme="minorEastAsia" w:hAnsiTheme="minorEastAsia" w:eastAsiaTheme="minorEastAsia"/>
                      <w:color w:val="000000"/>
                      <w:szCs w:val="21"/>
                    </w:rPr>
                    <w:t>B</w:t>
                  </w:r>
                  <w:r>
                    <w:rPr>
                      <w:rFonts w:asciiTheme="minorEastAsia" w:hAnsiTheme="minorEastAsia" w:eastAsiaTheme="minorEastAsia"/>
                      <w:color w:val="000000"/>
                      <w:szCs w:val="21"/>
                    </w:rPr>
                    <w:t>1-5</w:t>
                  </w:r>
                </w:p>
              </w:tc>
              <w:tc>
                <w:tcPr>
                  <w:tcW w:w="4343"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asciiTheme="minorEastAsia" w:hAnsiTheme="minorEastAsia" w:eastAsiaTheme="minorEastAsia"/>
                      <w:szCs w:val="21"/>
                    </w:rPr>
                    <w:t>衰减断面测试原点</w:t>
                  </w:r>
                  <w:r>
                    <w:rPr>
                      <w:rFonts w:hint="eastAsia" w:asciiTheme="minorEastAsia" w:hAnsiTheme="minorEastAsia" w:eastAsiaTheme="minorEastAsia"/>
                      <w:szCs w:val="21"/>
                      <w:lang w:val="en-US" w:eastAsia="zh-CN"/>
                    </w:rPr>
                    <w:t>东</w:t>
                  </w:r>
                  <w:r>
                    <w:rPr>
                      <w:rFonts w:asciiTheme="minorEastAsia" w:hAnsiTheme="minorEastAsia" w:eastAsiaTheme="minorEastAsia"/>
                      <w:szCs w:val="21"/>
                    </w:rPr>
                    <w:t>侧4m处</w:t>
                  </w:r>
                </w:p>
              </w:tc>
              <w:tc>
                <w:tcPr>
                  <w:tcW w:w="1760" w:type="dxa"/>
                  <w:tcBorders>
                    <w:tl2br w:val="nil"/>
                    <w:tr2bl w:val="nil"/>
                  </w:tcBorders>
                  <w:vAlign w:val="center"/>
                </w:tcPr>
                <w:p>
                  <w:pPr>
                    <w:jc w:val="center"/>
                    <w:rPr>
                      <w:rFonts w:asciiTheme="minorEastAsia" w:hAnsiTheme="minorEastAsia" w:eastAsiaTheme="minorEastAsia"/>
                      <w:szCs w:val="21"/>
                    </w:rPr>
                  </w:pPr>
                  <w:r>
                    <w:rPr>
                      <w:rFonts w:hint="eastAsia" w:asciiTheme="minorEastAsia" w:hAnsiTheme="minorEastAsia" w:eastAsiaTheme="minorEastAsia"/>
                      <w:color w:val="000000"/>
                      <w:szCs w:val="21"/>
                      <w:lang w:val="en-US" w:eastAsia="zh-CN"/>
                    </w:rPr>
                    <w:t xml:space="preserve">9.163 </w:t>
                  </w:r>
                </w:p>
              </w:tc>
              <w:tc>
                <w:tcPr>
                  <w:tcW w:w="1761" w:type="dxa"/>
                  <w:tcBorders>
                    <w:tl2br w:val="nil"/>
                    <w:tr2bl w:val="nil"/>
                  </w:tcBorders>
                  <w:vAlign w:val="center"/>
                </w:tcPr>
                <w:p>
                  <w:pPr>
                    <w:jc w:val="center"/>
                    <w:rPr>
                      <w:rFonts w:ascii="宋体" w:hAnsi="宋体"/>
                      <w:szCs w:val="21"/>
                    </w:rPr>
                  </w:pPr>
                  <w:r>
                    <w:rPr>
                      <w:rFonts w:hint="eastAsia" w:asciiTheme="minorEastAsia" w:hAnsiTheme="minorEastAsia" w:eastAsiaTheme="minorEastAsia"/>
                      <w:color w:val="000000"/>
                      <w:szCs w:val="21"/>
                      <w:lang w:val="en-US" w:eastAsia="zh-CN"/>
                    </w:rPr>
                    <w:t xml:space="preserve">0.014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Theme="minorEastAsia" w:hAnsiTheme="minorEastAsia" w:eastAsiaTheme="minorEastAsia"/>
                      <w:color w:val="000000"/>
                      <w:szCs w:val="21"/>
                    </w:rPr>
                  </w:pPr>
                  <w:r>
                    <w:rPr>
                      <w:rFonts w:hint="eastAsia" w:asciiTheme="minorEastAsia" w:hAnsiTheme="minorEastAsia" w:eastAsiaTheme="minorEastAsia"/>
                      <w:color w:val="000000"/>
                      <w:szCs w:val="21"/>
                    </w:rPr>
                    <w:t>B</w:t>
                  </w:r>
                  <w:r>
                    <w:rPr>
                      <w:rFonts w:asciiTheme="minorEastAsia" w:hAnsiTheme="minorEastAsia" w:eastAsiaTheme="minorEastAsia"/>
                      <w:color w:val="000000"/>
                      <w:szCs w:val="21"/>
                    </w:rPr>
                    <w:t>1-6</w:t>
                  </w:r>
                </w:p>
              </w:tc>
              <w:tc>
                <w:tcPr>
                  <w:tcW w:w="4343"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asciiTheme="minorEastAsia" w:hAnsiTheme="minorEastAsia" w:eastAsiaTheme="minorEastAsia"/>
                      <w:szCs w:val="21"/>
                    </w:rPr>
                    <w:t>衰减断面测试原点</w:t>
                  </w:r>
                  <w:r>
                    <w:rPr>
                      <w:rFonts w:hint="eastAsia" w:asciiTheme="minorEastAsia" w:hAnsiTheme="minorEastAsia" w:eastAsiaTheme="minorEastAsia"/>
                      <w:szCs w:val="21"/>
                      <w:lang w:val="en-US" w:eastAsia="zh-CN"/>
                    </w:rPr>
                    <w:t>东</w:t>
                  </w:r>
                  <w:r>
                    <w:rPr>
                      <w:rFonts w:asciiTheme="minorEastAsia" w:hAnsiTheme="minorEastAsia" w:eastAsiaTheme="minorEastAsia"/>
                      <w:szCs w:val="21"/>
                    </w:rPr>
                    <w:t>侧5m处</w:t>
                  </w:r>
                </w:p>
              </w:tc>
              <w:tc>
                <w:tcPr>
                  <w:tcW w:w="1760" w:type="dxa"/>
                  <w:tcBorders>
                    <w:tl2br w:val="nil"/>
                    <w:tr2bl w:val="nil"/>
                  </w:tcBorders>
                  <w:vAlign w:val="center"/>
                </w:tcPr>
                <w:p>
                  <w:pPr>
                    <w:jc w:val="center"/>
                    <w:rPr>
                      <w:rFonts w:asciiTheme="minorEastAsia" w:hAnsiTheme="minorEastAsia" w:eastAsiaTheme="minorEastAsia"/>
                      <w:szCs w:val="21"/>
                    </w:rPr>
                  </w:pPr>
                  <w:r>
                    <w:rPr>
                      <w:rFonts w:hint="eastAsia" w:asciiTheme="minorEastAsia" w:hAnsiTheme="minorEastAsia" w:eastAsiaTheme="minorEastAsia"/>
                      <w:color w:val="000000"/>
                      <w:szCs w:val="21"/>
                      <w:lang w:val="en-US" w:eastAsia="zh-CN"/>
                    </w:rPr>
                    <w:t xml:space="preserve">7.513 </w:t>
                  </w:r>
                </w:p>
              </w:tc>
              <w:tc>
                <w:tcPr>
                  <w:tcW w:w="1761" w:type="dxa"/>
                  <w:tcBorders>
                    <w:tl2br w:val="nil"/>
                    <w:tr2bl w:val="nil"/>
                  </w:tcBorders>
                  <w:vAlign w:val="center"/>
                </w:tcPr>
                <w:p>
                  <w:pPr>
                    <w:jc w:val="center"/>
                    <w:rPr>
                      <w:rFonts w:ascii="宋体" w:hAnsi="宋体"/>
                      <w:szCs w:val="21"/>
                    </w:rPr>
                  </w:pPr>
                  <w:r>
                    <w:rPr>
                      <w:rFonts w:hint="eastAsia" w:asciiTheme="minorEastAsia" w:hAnsiTheme="minorEastAsia" w:eastAsiaTheme="minorEastAsia"/>
                      <w:color w:val="000000"/>
                      <w:szCs w:val="21"/>
                      <w:lang w:val="en-US" w:eastAsia="zh-CN"/>
                    </w:rPr>
                    <w:t xml:space="preserve">0.012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Theme="minorEastAsia" w:hAnsiTheme="minorEastAsia" w:eastAsiaTheme="minorEastAsia"/>
                      <w:color w:val="000000"/>
                      <w:szCs w:val="21"/>
                    </w:rPr>
                  </w:pPr>
                  <w:r>
                    <w:rPr>
                      <w:rFonts w:hint="eastAsia" w:asciiTheme="minorEastAsia" w:hAnsiTheme="minorEastAsia" w:eastAsiaTheme="minorEastAsia"/>
                      <w:color w:val="000000"/>
                      <w:szCs w:val="21"/>
                    </w:rPr>
                    <w:t>B</w:t>
                  </w:r>
                  <w:r>
                    <w:rPr>
                      <w:rFonts w:asciiTheme="minorEastAsia" w:hAnsiTheme="minorEastAsia" w:eastAsiaTheme="minorEastAsia"/>
                      <w:color w:val="000000"/>
                      <w:szCs w:val="21"/>
                    </w:rPr>
                    <w:t>1-7</w:t>
                  </w:r>
                </w:p>
              </w:tc>
              <w:tc>
                <w:tcPr>
                  <w:tcW w:w="4343"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asciiTheme="minorEastAsia" w:hAnsiTheme="minorEastAsia" w:eastAsiaTheme="minorEastAsia"/>
                      <w:szCs w:val="21"/>
                    </w:rPr>
                    <w:t>衰减断面测试原点</w:t>
                  </w:r>
                  <w:r>
                    <w:rPr>
                      <w:rFonts w:hint="eastAsia" w:asciiTheme="minorEastAsia" w:hAnsiTheme="minorEastAsia" w:eastAsiaTheme="minorEastAsia"/>
                      <w:szCs w:val="21"/>
                      <w:lang w:val="en-US" w:eastAsia="zh-CN"/>
                    </w:rPr>
                    <w:t>东</w:t>
                  </w:r>
                  <w:r>
                    <w:rPr>
                      <w:rFonts w:asciiTheme="minorEastAsia" w:hAnsiTheme="minorEastAsia" w:eastAsiaTheme="minorEastAsia"/>
                      <w:szCs w:val="21"/>
                    </w:rPr>
                    <w:t>侧</w:t>
                  </w:r>
                  <w:r>
                    <w:rPr>
                      <w:rFonts w:hint="eastAsia" w:asciiTheme="minorEastAsia" w:hAnsiTheme="minorEastAsia" w:eastAsiaTheme="minorEastAsia"/>
                      <w:szCs w:val="21"/>
                    </w:rPr>
                    <w:t>6</w:t>
                  </w:r>
                  <w:r>
                    <w:rPr>
                      <w:rFonts w:asciiTheme="minorEastAsia" w:hAnsiTheme="minorEastAsia" w:eastAsiaTheme="minorEastAsia"/>
                      <w:szCs w:val="21"/>
                    </w:rPr>
                    <w:t>m处</w:t>
                  </w:r>
                </w:p>
              </w:tc>
              <w:tc>
                <w:tcPr>
                  <w:tcW w:w="1760" w:type="dxa"/>
                  <w:tcBorders>
                    <w:tl2br w:val="nil"/>
                    <w:tr2bl w:val="nil"/>
                  </w:tcBorders>
                  <w:vAlign w:val="center"/>
                </w:tcPr>
                <w:p>
                  <w:pPr>
                    <w:jc w:val="center"/>
                    <w:rPr>
                      <w:rFonts w:asciiTheme="minorEastAsia" w:hAnsiTheme="minorEastAsia" w:eastAsiaTheme="minorEastAsia"/>
                      <w:szCs w:val="21"/>
                    </w:rPr>
                  </w:pPr>
                  <w:r>
                    <w:rPr>
                      <w:rFonts w:hint="eastAsia" w:asciiTheme="minorEastAsia" w:hAnsiTheme="minorEastAsia" w:eastAsiaTheme="minorEastAsia"/>
                      <w:color w:val="000000"/>
                      <w:szCs w:val="21"/>
                      <w:lang w:val="en-US" w:eastAsia="zh-CN"/>
                    </w:rPr>
                    <w:t xml:space="preserve">5.878 </w:t>
                  </w:r>
                </w:p>
              </w:tc>
              <w:tc>
                <w:tcPr>
                  <w:tcW w:w="1761" w:type="dxa"/>
                  <w:tcBorders>
                    <w:tl2br w:val="nil"/>
                    <w:tr2bl w:val="nil"/>
                  </w:tcBorders>
                  <w:vAlign w:val="center"/>
                </w:tcPr>
                <w:p>
                  <w:pPr>
                    <w:jc w:val="center"/>
                    <w:rPr>
                      <w:rFonts w:ascii="宋体" w:hAnsi="宋体"/>
                      <w:szCs w:val="21"/>
                    </w:rPr>
                  </w:pPr>
                  <w:r>
                    <w:rPr>
                      <w:rFonts w:hint="eastAsia" w:asciiTheme="minorEastAsia" w:hAnsiTheme="minorEastAsia" w:eastAsiaTheme="minorEastAsia"/>
                      <w:color w:val="000000"/>
                      <w:szCs w:val="21"/>
                      <w:lang w:val="en-US" w:eastAsia="zh-CN"/>
                    </w:rPr>
                    <w:t xml:space="preserve">0.010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5076" w:type="dxa"/>
                  <w:gridSpan w:val="2"/>
                  <w:tcBorders>
                    <w:tl2br w:val="nil"/>
                    <w:tr2bl w:val="nil"/>
                  </w:tcBorders>
                  <w:vAlign w:val="center"/>
                </w:tcPr>
                <w:p>
                  <w:pPr>
                    <w:spacing w:line="360" w:lineRule="exact"/>
                    <w:jc w:val="center"/>
                    <w:rPr>
                      <w:rFonts w:asciiTheme="minorEastAsia" w:hAnsiTheme="minorEastAsia" w:eastAsiaTheme="minorEastAsia"/>
                      <w:szCs w:val="21"/>
                    </w:rPr>
                  </w:pPr>
                  <w:r>
                    <w:rPr>
                      <w:rFonts w:hint="eastAsia" w:ascii="宋体" w:hAnsi="宋体" w:cs="宋体"/>
                      <w:szCs w:val="21"/>
                      <w:lang w:val="en-US" w:eastAsia="zh-CN"/>
                    </w:rPr>
                    <w:t>范围</w:t>
                  </w:r>
                </w:p>
              </w:tc>
              <w:tc>
                <w:tcPr>
                  <w:tcW w:w="1760" w:type="dxa"/>
                  <w:tcBorders>
                    <w:tl2br w:val="nil"/>
                    <w:tr2bl w:val="nil"/>
                  </w:tcBorders>
                  <w:vAlign w:val="center"/>
                </w:tcPr>
                <w:p>
                  <w:pPr>
                    <w:widowControl/>
                    <w:jc w:val="center"/>
                    <w:textAlignment w:val="bottom"/>
                    <w:rPr>
                      <w:rFonts w:hint="eastAsia" w:asciiTheme="minorEastAsia" w:hAnsiTheme="minorEastAsia" w:eastAsiaTheme="minorEastAsia"/>
                      <w:szCs w:val="21"/>
                    </w:rPr>
                  </w:pPr>
                  <w:r>
                    <w:rPr>
                      <w:rFonts w:hint="eastAsia" w:asciiTheme="minorEastAsia" w:hAnsiTheme="minorEastAsia" w:eastAsiaTheme="minorEastAsia"/>
                      <w:color w:val="000000"/>
                      <w:szCs w:val="21"/>
                      <w:lang w:val="en-US" w:eastAsia="zh-CN"/>
                    </w:rPr>
                    <w:t>5.878</w:t>
                  </w:r>
                  <w:r>
                    <w:rPr>
                      <w:rFonts w:hint="eastAsia" w:ascii="宋体" w:hAnsi="宋体"/>
                      <w:snapToGrid w:val="0"/>
                      <w:spacing w:val="-6"/>
                      <w:kern w:val="0"/>
                    </w:rPr>
                    <w:t>～</w:t>
                  </w:r>
                  <w:r>
                    <w:rPr>
                      <w:rFonts w:hint="eastAsia" w:asciiTheme="minorEastAsia" w:hAnsiTheme="minorEastAsia" w:eastAsiaTheme="minorEastAsia"/>
                      <w:color w:val="000000"/>
                      <w:szCs w:val="21"/>
                      <w:lang w:val="en-US" w:eastAsia="zh-CN"/>
                    </w:rPr>
                    <w:t xml:space="preserve">17.14 </w:t>
                  </w:r>
                </w:p>
              </w:tc>
              <w:tc>
                <w:tcPr>
                  <w:tcW w:w="1761" w:type="dxa"/>
                  <w:tcBorders>
                    <w:tl2br w:val="nil"/>
                    <w:tr2bl w:val="nil"/>
                  </w:tcBorders>
                  <w:vAlign w:val="center"/>
                </w:tcPr>
                <w:p>
                  <w:pPr>
                    <w:widowControl/>
                    <w:jc w:val="center"/>
                    <w:textAlignment w:val="bottom"/>
                    <w:rPr>
                      <w:rFonts w:hint="eastAsia" w:ascii="宋体" w:hAnsi="宋体"/>
                      <w:szCs w:val="21"/>
                    </w:rPr>
                  </w:pPr>
                  <w:r>
                    <w:rPr>
                      <w:rFonts w:hint="eastAsia" w:asciiTheme="minorEastAsia" w:hAnsiTheme="minorEastAsia" w:eastAsiaTheme="minorEastAsia"/>
                      <w:color w:val="000000"/>
                      <w:szCs w:val="21"/>
                      <w:lang w:val="en-US" w:eastAsia="zh-CN"/>
                    </w:rPr>
                    <w:t>0.010</w:t>
                  </w:r>
                  <w:r>
                    <w:rPr>
                      <w:rFonts w:hint="eastAsia" w:ascii="宋体" w:hAnsi="宋体"/>
                      <w:snapToGrid w:val="0"/>
                      <w:spacing w:val="-6"/>
                      <w:kern w:val="0"/>
                    </w:rPr>
                    <w:t>～</w:t>
                  </w:r>
                  <w:r>
                    <w:rPr>
                      <w:rFonts w:hint="eastAsia" w:asciiTheme="minorEastAsia" w:hAnsiTheme="minorEastAsia" w:eastAsiaTheme="minorEastAsia"/>
                      <w:color w:val="000000"/>
                      <w:szCs w:val="21"/>
                      <w:lang w:val="en-US" w:eastAsia="zh-CN"/>
                    </w:rPr>
                    <w:t xml:space="preserve">0.034 </w:t>
                  </w:r>
                </w:p>
              </w:tc>
            </w:tr>
          </w:tbl>
          <w:p>
            <w:pPr>
              <w:pStyle w:val="5"/>
              <w:spacing w:line="360" w:lineRule="auto"/>
              <w:ind w:firstLine="480"/>
              <w:rPr>
                <w:rFonts w:hAnsi="宋体"/>
                <w:kern w:val="0"/>
                <w:szCs w:val="24"/>
              </w:rPr>
            </w:pPr>
            <w:r>
              <w:rPr>
                <w:rFonts w:hint="eastAsia" w:hAnsi="宋体"/>
              </w:rPr>
              <w:t>由表3-7可知</w:t>
            </w:r>
            <w:r>
              <w:rPr>
                <w:rFonts w:hAnsi="宋体"/>
                <w:szCs w:val="32"/>
              </w:rPr>
              <w:t>，</w:t>
            </w:r>
            <w:r>
              <w:rPr>
                <w:rFonts w:hint="eastAsia" w:hAnsi="宋体"/>
                <w:szCs w:val="32"/>
              </w:rPr>
              <w:t>本工程</w:t>
            </w:r>
            <w:r>
              <w:rPr>
                <w:rFonts w:hint="eastAsia" w:hAnsi="宋体"/>
              </w:rPr>
              <w:t>线路周围工频电场强度为（</w:t>
            </w:r>
            <w:r>
              <w:rPr>
                <w:rFonts w:hint="eastAsia" w:hAnsi="宋体"/>
                <w:lang w:val="en-US" w:eastAsia="zh-CN"/>
              </w:rPr>
              <w:t>5.878</w:t>
            </w:r>
            <w:r>
              <w:rPr>
                <w:rFonts w:hint="eastAsia" w:hAnsi="宋体"/>
              </w:rPr>
              <w:t>～</w:t>
            </w:r>
            <w:r>
              <w:rPr>
                <w:rFonts w:hint="eastAsia" w:hAnsi="宋体"/>
                <w:lang w:val="en-US" w:eastAsia="zh-CN"/>
              </w:rPr>
              <w:t>17.14</w:t>
            </w:r>
            <w:r>
              <w:rPr>
                <w:rFonts w:hint="eastAsia" w:hAnsi="宋体"/>
              </w:rPr>
              <w:t>）V/m、磁感应强度值为（</w:t>
            </w:r>
            <w:r>
              <w:rPr>
                <w:rFonts w:hint="eastAsia" w:hAnsi="宋体"/>
                <w:lang w:val="en-US" w:eastAsia="zh-CN"/>
              </w:rPr>
              <w:t>0.010</w:t>
            </w:r>
            <w:r>
              <w:rPr>
                <w:rFonts w:hint="eastAsia" w:hAnsi="宋体"/>
              </w:rPr>
              <w:t>～</w:t>
            </w:r>
            <w:r>
              <w:rPr>
                <w:rFonts w:hint="eastAsia" w:hAnsi="宋体"/>
                <w:lang w:val="en-US" w:eastAsia="zh-CN"/>
              </w:rPr>
              <w:t>0.034</w:t>
            </w:r>
            <w:r>
              <w:rPr>
                <w:rFonts w:hint="eastAsia" w:hAnsi="宋体"/>
              </w:rPr>
              <w:t>）μT,均满足</w:t>
            </w:r>
            <w:r>
              <w:rPr>
                <w:rFonts w:hint="eastAsia" w:hAnsi="宋体"/>
                <w:snapToGrid w:val="0"/>
                <w:spacing w:val="-6"/>
                <w:kern w:val="0"/>
              </w:rPr>
              <w:t>《电磁环境控制限值》（GB8702-2014）规定的工频电场强度公众曝露控制限值4000V/m、工频磁感应强度公众曝露控制限值100μT的要求。</w:t>
            </w:r>
          </w:p>
          <w:p>
            <w:pPr>
              <w:pStyle w:val="5"/>
              <w:spacing w:line="360" w:lineRule="auto"/>
              <w:ind w:firstLine="0" w:firstLineChars="0"/>
              <w:jc w:val="center"/>
              <w:rPr>
                <w:rFonts w:hint="eastAsia" w:hAnsi="宋体" w:eastAsia="宋体"/>
                <w:snapToGrid w:val="0"/>
                <w:spacing w:val="-6"/>
                <w:kern w:val="0"/>
                <w:szCs w:val="24"/>
                <w:lang w:eastAsia="zh-CN"/>
              </w:rPr>
            </w:pPr>
            <w:r>
              <w:pict>
                <v:shape id="_x0000_s2179" o:spid="_x0000_s2179" o:spt="202" type="#_x0000_t202" style="position:absolute;left:0pt;margin-left:138pt;margin-top:156.4pt;height:69.6pt;width:99.7pt;z-index:251720704;mso-width-relative:margin;mso-height-relative:margin;mso-height-percent:200;" filled="f" stroked="f" coordsize="21600,21600">
                  <v:path/>
                  <v:fill on="f" focussize="0,0"/>
                  <v:stroke on="f" joinstyle="miter"/>
                  <v:imagedata o:title=""/>
                  <o:lock v:ext="edit"/>
                  <v:textbox style="mso-fit-shape-to-text:t;">
                    <w:txbxContent>
                      <w:p>
                        <w:pPr>
                          <w:rPr>
                            <w:b/>
                            <w:color w:val="FF0000"/>
                            <w:sz w:val="28"/>
                            <w:szCs w:val="28"/>
                          </w:rPr>
                        </w:pPr>
                        <w:r>
                          <w:rPr>
                            <w:rFonts w:hint="eastAsia" w:hAnsi="宋体"/>
                            <w:b/>
                            <w:snapToGrid w:val="0"/>
                            <w:color w:val="FF0000"/>
                            <w:spacing w:val="-6"/>
                            <w:kern w:val="0"/>
                            <w:sz w:val="28"/>
                            <w:szCs w:val="28"/>
                            <w:lang w:val="en-US" w:eastAsia="zh-CN"/>
                          </w:rPr>
                          <w:t>通</w:t>
                        </w:r>
                        <w:r>
                          <w:rPr>
                            <w:rFonts w:hint="eastAsia" w:hAnsi="宋体"/>
                            <w:b/>
                            <w:snapToGrid w:val="0"/>
                            <w:color w:val="FF0000"/>
                            <w:spacing w:val="-6"/>
                            <w:kern w:val="0"/>
                            <w:sz w:val="28"/>
                            <w:szCs w:val="28"/>
                          </w:rPr>
                          <w:t>廊高度5m</w:t>
                        </w:r>
                      </w:p>
                    </w:txbxContent>
                  </v:textbox>
                </v:shape>
              </w:pict>
            </w:r>
            <w:r>
              <w:pict>
                <v:shape id="_x0000_s2177" o:spid="_x0000_s2177" o:spt="32" type="#_x0000_t32" style="position:absolute;left:0pt;flip:y;margin-left:132pt;margin-top:246pt;height:1.35pt;width:129.7pt;z-index:251719680;mso-width-relative:page;mso-height-relative:page;" filled="f" stroked="t" coordsize="21600,21600">
                  <v:path arrowok="t"/>
                  <v:fill on="f" focussize="0,0"/>
                  <v:stroke weight="1.5pt" color="#FF0000" endarrow="block"/>
                  <v:imagedata o:title=""/>
                  <o:lock v:ext="edit" aspectratio="f"/>
                </v:shape>
              </w:pict>
            </w:r>
            <w:r>
              <w:pict>
                <v:shape id="_x0000_s2178" o:spid="_x0000_s2178" o:spt="32" type="#_x0000_t32" style="position:absolute;left:0pt;flip:x;margin-left:132.2pt;margin-top:136.55pt;height:110.95pt;width:2.45pt;z-index:251718656;mso-width-relative:page;mso-height-relative:page;" filled="f" stroked="t" coordsize="21600,21600">
                  <v:path arrowok="t"/>
                  <v:fill on="f" focussize="0,0"/>
                  <v:stroke weight="1.75pt" color="#FF0000" startarrow="block" endarrow="block"/>
                  <v:imagedata o:title=""/>
                  <o:lock v:ext="edit" aspectratio="f"/>
                </v:shape>
              </w:pict>
            </w:r>
            <w:r>
              <w:rPr>
                <w:rFonts w:hint="eastAsia" w:hAnsi="宋体" w:eastAsia="宋体"/>
                <w:snapToGrid w:val="0"/>
                <w:spacing w:val="-6"/>
                <w:kern w:val="0"/>
                <w:szCs w:val="24"/>
                <w:lang w:eastAsia="zh-CN"/>
              </w:rPr>
              <w:drawing>
                <wp:inline distT="0" distB="0" distL="114300" distR="114300">
                  <wp:extent cx="5899150" cy="4424045"/>
                  <wp:effectExtent l="0" t="0" r="6350" b="14605"/>
                  <wp:docPr id="17" name="图片 17" descr="IMG_0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0341"/>
                          <pic:cNvPicPr>
                            <a:picLocks noChangeAspect="1"/>
                          </pic:cNvPicPr>
                        </pic:nvPicPr>
                        <pic:blipFill>
                          <a:blip r:embed="rId21"/>
                          <a:stretch>
                            <a:fillRect/>
                          </a:stretch>
                        </pic:blipFill>
                        <pic:spPr>
                          <a:xfrm>
                            <a:off x="0" y="0"/>
                            <a:ext cx="5899150" cy="4424045"/>
                          </a:xfrm>
                          <a:prstGeom prst="rect">
                            <a:avLst/>
                          </a:prstGeom>
                        </pic:spPr>
                      </pic:pic>
                    </a:graphicData>
                  </a:graphic>
                </wp:inline>
              </w:drawing>
            </w:r>
          </w:p>
          <w:p>
            <w:pPr>
              <w:pStyle w:val="5"/>
              <w:spacing w:line="360" w:lineRule="auto"/>
              <w:ind w:firstLine="480"/>
              <w:jc w:val="center"/>
              <w:rPr>
                <w:rFonts w:hAnsi="宋体"/>
                <w:snapToGrid w:val="0"/>
                <w:spacing w:val="-6"/>
                <w:kern w:val="0"/>
                <w:szCs w:val="24"/>
              </w:rPr>
            </w:pPr>
            <w:r>
              <w:rPr>
                <w:rFonts w:hint="eastAsia" w:ascii="黑体" w:hAnsi="宋体" w:eastAsia="黑体"/>
                <w:snapToGrid w:val="0"/>
                <w:kern w:val="0"/>
              </w:rPr>
              <w:t>图3</w:t>
            </w:r>
            <w:r>
              <w:rPr>
                <w:rFonts w:ascii="黑体" w:hAnsi="宋体" w:eastAsia="黑体"/>
                <w:snapToGrid w:val="0"/>
                <w:kern w:val="0"/>
              </w:rPr>
              <w:t>-</w:t>
            </w:r>
            <w:r>
              <w:rPr>
                <w:rFonts w:hint="eastAsia" w:ascii="黑体" w:hAnsi="宋体" w:eastAsia="黑体"/>
                <w:snapToGrid w:val="0"/>
                <w:kern w:val="0"/>
              </w:rPr>
              <w:t>1</w:t>
            </w:r>
            <w:r>
              <w:rPr>
                <w:rFonts w:ascii="黑体" w:hAnsi="宋体" w:eastAsia="黑体"/>
                <w:snapToGrid w:val="0"/>
                <w:kern w:val="0"/>
              </w:rPr>
              <w:t xml:space="preserve">  </w:t>
            </w:r>
            <w:r>
              <w:rPr>
                <w:rFonts w:hint="eastAsia" w:ascii="黑体" w:hAnsi="宋体" w:eastAsia="黑体"/>
                <w:snapToGrid w:val="0"/>
                <w:kern w:val="0"/>
              </w:rPr>
              <w:t>衰减断</w:t>
            </w:r>
            <w:r>
              <w:rPr>
                <w:rFonts w:hint="eastAsia" w:ascii="黑体" w:hAnsi="宋体" w:eastAsia="黑体" w:cs="Times New Roman"/>
                <w:snapToGrid w:val="0"/>
                <w:kern w:val="0"/>
                <w:lang w:val="en-US" w:eastAsia="zh-CN"/>
              </w:rPr>
              <w:t>面：110kV鼓风I、II、III线三</w:t>
            </w:r>
            <w:r>
              <w:rPr>
                <w:rFonts w:hint="eastAsia" w:ascii="黑体" w:hAnsi="宋体" w:eastAsia="黑体"/>
                <w:snapToGrid w:val="0"/>
                <w:kern w:val="0"/>
              </w:rPr>
              <w:t>回空中电缆</w:t>
            </w:r>
            <w:r>
              <w:rPr>
                <w:rFonts w:hint="eastAsia" w:ascii="黑体" w:hAnsi="宋体" w:eastAsia="黑体"/>
                <w:snapToGrid w:val="0"/>
                <w:kern w:val="0"/>
                <w:lang w:val="en-US" w:eastAsia="zh-CN"/>
              </w:rPr>
              <w:t>通</w:t>
            </w:r>
            <w:r>
              <w:rPr>
                <w:rFonts w:hint="eastAsia" w:ascii="黑体" w:hAnsi="宋体" w:eastAsia="黑体"/>
                <w:snapToGrid w:val="0"/>
                <w:kern w:val="0"/>
              </w:rPr>
              <w:t>廊向</w:t>
            </w:r>
            <w:r>
              <w:rPr>
                <w:rFonts w:hint="eastAsia" w:ascii="黑体" w:hAnsi="宋体" w:eastAsia="黑体"/>
                <w:snapToGrid w:val="0"/>
                <w:kern w:val="0"/>
                <w:lang w:val="en-US" w:eastAsia="zh-CN"/>
              </w:rPr>
              <w:t>东</w:t>
            </w:r>
            <w:r>
              <w:rPr>
                <w:rFonts w:hint="eastAsia" w:ascii="黑体" w:hAnsi="宋体" w:eastAsia="黑体"/>
                <w:snapToGrid w:val="0"/>
                <w:kern w:val="0"/>
              </w:rPr>
              <w:t>衰减</w:t>
            </w:r>
          </w:p>
          <w:p>
            <w:pPr>
              <w:pStyle w:val="5"/>
              <w:spacing w:line="360" w:lineRule="auto"/>
              <w:ind w:firstLine="0" w:firstLineChars="0"/>
              <w:rPr>
                <w:rFonts w:hAnsi="宋体"/>
                <w:snapToGrid w:val="0"/>
                <w:spacing w:val="-6"/>
                <w:kern w:val="0"/>
                <w:szCs w:val="24"/>
              </w:rPr>
            </w:pPr>
          </w:p>
        </w:tc>
      </w:tr>
    </w:tbl>
    <w:p>
      <w:pPr>
        <w:spacing w:line="360" w:lineRule="auto"/>
        <w:rPr>
          <w:rFonts w:eastAsia="黑体"/>
          <w:sz w:val="28"/>
        </w:rPr>
      </w:pPr>
      <w:r>
        <w:br w:type="page"/>
      </w:r>
      <w:r>
        <w:rPr>
          <w:rFonts w:ascii="黑体" w:eastAsia="黑体"/>
          <w:sz w:val="28"/>
        </w:rPr>
        <w:t>4</w:t>
      </w:r>
      <w:r>
        <w:rPr>
          <w:rFonts w:hint="eastAsia" w:ascii="黑体" w:eastAsia="黑体"/>
          <w:sz w:val="28"/>
        </w:rPr>
        <w:t>评价</w:t>
      </w:r>
      <w:r>
        <w:rPr>
          <w:rFonts w:hint="eastAsia" w:eastAsia="黑体"/>
          <w:sz w:val="28"/>
        </w:rPr>
        <w:t>适用标准</w:t>
      </w:r>
    </w:p>
    <w:tbl>
      <w:tblPr>
        <w:tblStyle w:val="22"/>
        <w:tblW w:w="936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4"/>
        <w:gridCol w:w="85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048" w:hRule="atLeast"/>
          <w:jc w:val="center"/>
        </w:trPr>
        <w:tc>
          <w:tcPr>
            <w:tcW w:w="834" w:type="dxa"/>
            <w:vAlign w:val="center"/>
          </w:tcPr>
          <w:p>
            <w:pPr>
              <w:spacing w:line="360" w:lineRule="auto"/>
              <w:jc w:val="center"/>
              <w:rPr>
                <w:sz w:val="24"/>
              </w:rPr>
            </w:pPr>
            <w:r>
              <w:rPr>
                <w:rFonts w:hint="eastAsia"/>
                <w:sz w:val="24"/>
              </w:rPr>
              <w:t>评</w:t>
            </w:r>
          </w:p>
          <w:p>
            <w:pPr>
              <w:spacing w:line="360" w:lineRule="auto"/>
              <w:jc w:val="center"/>
              <w:rPr>
                <w:sz w:val="24"/>
              </w:rPr>
            </w:pPr>
            <w:r>
              <w:rPr>
                <w:rFonts w:hint="eastAsia"/>
                <w:sz w:val="24"/>
              </w:rPr>
              <w:t>价</w:t>
            </w:r>
          </w:p>
          <w:p>
            <w:pPr>
              <w:spacing w:line="360" w:lineRule="auto"/>
              <w:jc w:val="center"/>
              <w:rPr>
                <w:sz w:val="24"/>
              </w:rPr>
            </w:pPr>
            <w:r>
              <w:rPr>
                <w:rFonts w:hint="eastAsia"/>
                <w:sz w:val="24"/>
              </w:rPr>
              <w:t>适</w:t>
            </w:r>
          </w:p>
          <w:p>
            <w:pPr>
              <w:spacing w:line="360" w:lineRule="auto"/>
              <w:jc w:val="center"/>
              <w:rPr>
                <w:sz w:val="24"/>
              </w:rPr>
            </w:pPr>
            <w:r>
              <w:rPr>
                <w:rFonts w:hint="eastAsia"/>
                <w:sz w:val="24"/>
              </w:rPr>
              <w:t>用</w:t>
            </w:r>
          </w:p>
          <w:p>
            <w:pPr>
              <w:spacing w:line="360" w:lineRule="auto"/>
              <w:jc w:val="center"/>
              <w:rPr>
                <w:sz w:val="24"/>
              </w:rPr>
            </w:pPr>
            <w:r>
              <w:rPr>
                <w:rFonts w:hint="eastAsia"/>
                <w:sz w:val="24"/>
              </w:rPr>
              <w:t>标</w:t>
            </w:r>
          </w:p>
          <w:p>
            <w:pPr>
              <w:spacing w:line="360" w:lineRule="auto"/>
              <w:jc w:val="center"/>
              <w:rPr>
                <w:sz w:val="24"/>
              </w:rPr>
            </w:pPr>
            <w:r>
              <w:rPr>
                <w:rFonts w:hint="eastAsia"/>
                <w:sz w:val="24"/>
              </w:rPr>
              <w:t>准</w:t>
            </w:r>
          </w:p>
        </w:tc>
        <w:tc>
          <w:tcPr>
            <w:tcW w:w="8535" w:type="dxa"/>
            <w:vAlign w:val="center"/>
          </w:tcPr>
          <w:p>
            <w:pPr>
              <w:spacing w:line="460" w:lineRule="exact"/>
              <w:ind w:firstLine="472" w:firstLineChars="196"/>
              <w:rPr>
                <w:rFonts w:ascii="宋体"/>
                <w:b/>
                <w:sz w:val="24"/>
              </w:rPr>
            </w:pPr>
            <w:r>
              <w:rPr>
                <w:rFonts w:hint="eastAsia" w:ascii="宋体" w:hAnsi="宋体"/>
                <w:b/>
                <w:sz w:val="24"/>
                <w:lang w:val="en-US" w:eastAsia="zh-CN"/>
              </w:rPr>
              <w:t>1</w:t>
            </w:r>
            <w:r>
              <w:rPr>
                <w:rFonts w:hint="eastAsia" w:ascii="宋体" w:hAnsi="宋体"/>
                <w:b/>
                <w:sz w:val="24"/>
              </w:rPr>
              <w:t>、</w:t>
            </w:r>
            <w:r>
              <w:rPr>
                <w:rFonts w:hint="eastAsia" w:ascii="宋体" w:hAnsi="宋体"/>
                <w:b/>
                <w:sz w:val="24"/>
                <w:lang w:val="en-US" w:eastAsia="zh-CN"/>
              </w:rPr>
              <w:t>厂界</w:t>
            </w:r>
            <w:r>
              <w:rPr>
                <w:rFonts w:hint="eastAsia" w:ascii="宋体" w:hAnsi="宋体"/>
                <w:b/>
                <w:sz w:val="24"/>
              </w:rPr>
              <w:t>噪声</w:t>
            </w:r>
          </w:p>
          <w:p>
            <w:pPr>
              <w:spacing w:line="360" w:lineRule="auto"/>
              <w:ind w:firstLine="480" w:firstLineChars="200"/>
              <w:rPr>
                <w:rFonts w:ascii="宋体"/>
                <w:sz w:val="24"/>
              </w:rPr>
            </w:pPr>
            <w:r>
              <w:rPr>
                <w:rFonts w:hint="eastAsia" w:ascii="宋体" w:hAnsi="宋体"/>
                <w:sz w:val="24"/>
              </w:rPr>
              <w:t>运营期噪声排放执行《工业企业厂界环境噪声排放标准》（</w:t>
            </w:r>
            <w:r>
              <w:rPr>
                <w:rFonts w:ascii="宋体" w:hAnsi="宋体"/>
                <w:sz w:val="24"/>
              </w:rPr>
              <w:t>GB12348-2008</w:t>
            </w:r>
            <w:r>
              <w:rPr>
                <w:rFonts w:hint="eastAsia" w:ascii="宋体" w:hAnsi="宋体"/>
                <w:sz w:val="24"/>
              </w:rPr>
              <w:t>）中3类声环境功能区要求：</w:t>
            </w:r>
            <w:r>
              <w:rPr>
                <w:rFonts w:hint="eastAsia" w:ascii="宋体" w:hAnsi="宋体" w:eastAsia="宋体" w:cs="Times New Roman"/>
                <w:kern w:val="0"/>
                <w:sz w:val="24"/>
              </w:rPr>
              <w:t>昼间65</w:t>
            </w:r>
            <w:r>
              <w:rPr>
                <w:rFonts w:hint="eastAsia" w:ascii="宋体" w:hAnsi="宋体" w:eastAsia="宋体" w:cs="Times New Roman"/>
                <w:kern w:val="0"/>
                <w:sz w:val="24"/>
                <w:lang w:val="en-US" w:eastAsia="zh-CN"/>
              </w:rPr>
              <w:t>dB</w:t>
            </w:r>
            <w:r>
              <w:rPr>
                <w:rFonts w:hint="eastAsia" w:ascii="宋体" w:hAnsi="宋体" w:eastAsia="宋体" w:cs="Times New Roman"/>
                <w:kern w:val="0"/>
                <w:sz w:val="24"/>
              </w:rPr>
              <w:t>（</w:t>
            </w:r>
            <w:r>
              <w:rPr>
                <w:rFonts w:hint="eastAsia" w:ascii="宋体" w:hAnsi="宋体" w:eastAsia="宋体" w:cs="Times New Roman"/>
                <w:kern w:val="0"/>
                <w:sz w:val="24"/>
                <w:lang w:val="en-US" w:eastAsia="zh-CN"/>
              </w:rPr>
              <w:t>A</w:t>
            </w:r>
            <w:r>
              <w:rPr>
                <w:rFonts w:hint="eastAsia" w:ascii="宋体" w:hAnsi="宋体" w:eastAsia="宋体" w:cs="Times New Roman"/>
                <w:kern w:val="0"/>
                <w:sz w:val="24"/>
              </w:rPr>
              <w:t>）、夜间</w:t>
            </w:r>
            <w:r>
              <w:rPr>
                <w:rFonts w:hint="eastAsia" w:ascii="宋体" w:hAnsi="宋体" w:cs="Times New Roman"/>
                <w:kern w:val="0"/>
                <w:sz w:val="24"/>
                <w:lang w:val="en-US" w:eastAsia="zh-CN"/>
              </w:rPr>
              <w:t>55</w:t>
            </w:r>
            <w:r>
              <w:rPr>
                <w:rFonts w:hint="eastAsia" w:ascii="宋体" w:hAnsi="宋体" w:eastAsia="宋体" w:cs="Times New Roman"/>
                <w:kern w:val="0"/>
                <w:sz w:val="24"/>
                <w:lang w:val="en-US" w:eastAsia="zh-CN"/>
              </w:rPr>
              <w:t>dB</w:t>
            </w:r>
            <w:r>
              <w:rPr>
                <w:rFonts w:hint="eastAsia" w:ascii="宋体" w:hAnsi="宋体" w:eastAsia="宋体" w:cs="Times New Roman"/>
                <w:kern w:val="0"/>
                <w:sz w:val="24"/>
              </w:rPr>
              <w:t>（</w:t>
            </w:r>
            <w:r>
              <w:rPr>
                <w:rFonts w:hint="eastAsia" w:ascii="宋体" w:hAnsi="宋体" w:eastAsia="宋体" w:cs="Times New Roman"/>
                <w:kern w:val="0"/>
                <w:sz w:val="24"/>
                <w:lang w:val="en-US" w:eastAsia="zh-CN"/>
              </w:rPr>
              <w:t>A</w:t>
            </w:r>
            <w:r>
              <w:rPr>
                <w:rFonts w:hint="eastAsia" w:ascii="宋体" w:hAnsi="宋体" w:eastAsia="宋体" w:cs="Times New Roman"/>
                <w:kern w:val="0"/>
                <w:sz w:val="24"/>
              </w:rPr>
              <w:t>）</w:t>
            </w:r>
            <w:r>
              <w:rPr>
                <w:rFonts w:hint="eastAsia" w:ascii="宋体" w:hAnsi="宋体"/>
                <w:sz w:val="24"/>
              </w:rPr>
              <w:t>。</w:t>
            </w:r>
          </w:p>
          <w:p>
            <w:pPr>
              <w:spacing w:line="460" w:lineRule="exact"/>
              <w:ind w:firstLine="472" w:firstLineChars="196"/>
              <w:rPr>
                <w:rFonts w:ascii="宋体"/>
                <w:sz w:val="24"/>
              </w:rPr>
            </w:pPr>
            <w:r>
              <w:rPr>
                <w:rFonts w:hint="eastAsia" w:ascii="宋体" w:hAnsi="宋体"/>
                <w:b/>
                <w:sz w:val="24"/>
                <w:lang w:val="en-US" w:eastAsia="zh-CN"/>
              </w:rPr>
              <w:t>2</w:t>
            </w:r>
            <w:r>
              <w:rPr>
                <w:rFonts w:hint="eastAsia" w:ascii="宋体" w:hAnsi="宋体"/>
                <w:b/>
                <w:sz w:val="24"/>
              </w:rPr>
              <w:t>、工频电场、工频磁场</w:t>
            </w:r>
          </w:p>
          <w:p>
            <w:pPr>
              <w:adjustRightInd w:val="0"/>
              <w:snapToGrid w:val="0"/>
              <w:spacing w:line="460" w:lineRule="exact"/>
              <w:ind w:firstLine="480" w:firstLineChars="200"/>
              <w:rPr>
                <w:rFonts w:ascii="宋体"/>
                <w:snapToGrid w:val="0"/>
                <w:spacing w:val="-6"/>
                <w:kern w:val="0"/>
                <w:sz w:val="24"/>
                <w:szCs w:val="20"/>
              </w:rPr>
            </w:pPr>
            <w:r>
              <w:rPr>
                <w:rFonts w:hint="eastAsia" w:ascii="宋体" w:hAnsi="宋体"/>
                <w:sz w:val="24"/>
                <w:szCs w:val="20"/>
              </w:rPr>
              <w:t>执行《电磁环境控制限值》（</w:t>
            </w:r>
            <w:r>
              <w:rPr>
                <w:rFonts w:ascii="宋体" w:hAnsi="宋体"/>
                <w:sz w:val="24"/>
                <w:szCs w:val="20"/>
              </w:rPr>
              <w:t>GB8702-2014</w:t>
            </w:r>
            <w:r>
              <w:rPr>
                <w:rFonts w:hint="eastAsia" w:ascii="宋体" w:hAnsi="宋体"/>
                <w:sz w:val="24"/>
                <w:szCs w:val="20"/>
              </w:rPr>
              <w:t>）：电场强度</w:t>
            </w:r>
            <w:r>
              <w:rPr>
                <w:rFonts w:ascii="宋体" w:hAnsi="宋体"/>
                <w:snapToGrid w:val="0"/>
                <w:kern w:val="0"/>
                <w:sz w:val="24"/>
              </w:rPr>
              <w:t>4000V/m</w:t>
            </w:r>
            <w:r>
              <w:rPr>
                <w:rFonts w:hint="eastAsia" w:ascii="宋体" w:hAnsi="宋体"/>
                <w:snapToGrid w:val="0"/>
                <w:kern w:val="0"/>
                <w:sz w:val="24"/>
                <w:szCs w:val="20"/>
              </w:rPr>
              <w:t>、磁感应强度</w:t>
            </w:r>
            <w:r>
              <w:rPr>
                <w:rFonts w:ascii="宋体" w:hAnsi="宋体"/>
                <w:snapToGrid w:val="0"/>
                <w:spacing w:val="-6"/>
                <w:kern w:val="0"/>
                <w:sz w:val="24"/>
                <w:szCs w:val="20"/>
              </w:rPr>
              <w:t>100</w:t>
            </w:r>
            <w:r>
              <w:rPr>
                <w:rFonts w:hint="eastAsia" w:ascii="宋体" w:hAnsi="宋体"/>
                <w:snapToGrid w:val="0"/>
                <w:spacing w:val="-6"/>
                <w:kern w:val="0"/>
                <w:sz w:val="24"/>
                <w:szCs w:val="20"/>
              </w:rPr>
              <w:t>μ</w:t>
            </w:r>
            <w:r>
              <w:rPr>
                <w:rFonts w:ascii="宋体" w:hAnsi="宋体"/>
                <w:snapToGrid w:val="0"/>
                <w:spacing w:val="-6"/>
                <w:kern w:val="0"/>
                <w:sz w:val="24"/>
                <w:szCs w:val="20"/>
              </w:rPr>
              <w:t>T</w:t>
            </w:r>
            <w:r>
              <w:rPr>
                <w:rFonts w:hint="eastAsia" w:ascii="宋体" w:hAnsi="宋体"/>
                <w:snapToGrid w:val="0"/>
                <w:spacing w:val="-6"/>
                <w:kern w:val="0"/>
                <w:sz w:val="24"/>
                <w:szCs w:val="20"/>
              </w:rPr>
              <w:t>。</w:t>
            </w:r>
          </w:p>
          <w:p>
            <w:pPr>
              <w:spacing w:line="460" w:lineRule="exact"/>
              <w:ind w:firstLine="472" w:firstLineChars="196"/>
              <w:rPr>
                <w:rFonts w:ascii="宋体"/>
                <w:sz w:val="24"/>
              </w:rPr>
            </w:pPr>
            <w:r>
              <w:rPr>
                <w:rFonts w:hint="eastAsia" w:ascii="宋体" w:hAnsi="宋体"/>
                <w:b/>
                <w:sz w:val="24"/>
                <w:lang w:val="en-US" w:eastAsia="zh-CN"/>
              </w:rPr>
              <w:t>3</w:t>
            </w:r>
            <w:r>
              <w:rPr>
                <w:rFonts w:hint="eastAsia" w:ascii="宋体" w:hAnsi="宋体"/>
                <w:b/>
                <w:sz w:val="24"/>
              </w:rPr>
              <w:t>、固体废物</w:t>
            </w:r>
          </w:p>
          <w:p>
            <w:pPr>
              <w:adjustRightInd w:val="0"/>
              <w:snapToGrid w:val="0"/>
              <w:spacing w:line="460" w:lineRule="exact"/>
              <w:ind w:firstLine="480" w:firstLineChars="200"/>
              <w:rPr>
                <w:rFonts w:ascii="宋体"/>
                <w:sz w:val="24"/>
              </w:rPr>
            </w:pPr>
            <w:r>
              <w:rPr>
                <w:rFonts w:hint="eastAsia" w:ascii="宋体" w:hAnsi="宋体"/>
                <w:sz w:val="24"/>
                <w:szCs w:val="20"/>
              </w:rPr>
              <w:t>一般固体废物执行</w:t>
            </w:r>
            <w:r>
              <w:rPr>
                <w:rFonts w:hint="eastAsia" w:ascii="宋体" w:hAnsi="宋体"/>
                <w:kern w:val="0"/>
                <w:sz w:val="24"/>
                <w:szCs w:val="20"/>
              </w:rPr>
              <w:t>《一般工业固体废物贮存、处置场污染控制标准》（</w:t>
            </w:r>
            <w:r>
              <w:rPr>
                <w:rFonts w:ascii="宋体" w:hAnsi="宋体"/>
                <w:kern w:val="0"/>
                <w:sz w:val="24"/>
                <w:szCs w:val="20"/>
              </w:rPr>
              <w:t>GB18599-2001</w:t>
            </w:r>
            <w:r>
              <w:rPr>
                <w:rFonts w:hint="eastAsia" w:ascii="宋体" w:hAnsi="宋体"/>
                <w:kern w:val="0"/>
                <w:sz w:val="24"/>
                <w:szCs w:val="20"/>
              </w:rPr>
              <w:t>）</w:t>
            </w:r>
            <w:r>
              <w:rPr>
                <w:rFonts w:hint="eastAsia" w:ascii="宋体" w:hAnsi="宋体"/>
                <w:sz w:val="24"/>
                <w:szCs w:val="20"/>
              </w:rPr>
              <w:t>及其修改单，危险废物执行</w:t>
            </w:r>
            <w:r>
              <w:rPr>
                <w:rFonts w:hint="eastAsia" w:ascii="宋体" w:hAnsi="宋体"/>
                <w:kern w:val="0"/>
                <w:sz w:val="24"/>
                <w:szCs w:val="20"/>
              </w:rPr>
              <w:t>《危险废物贮存污染控制标准》（</w:t>
            </w:r>
            <w:r>
              <w:rPr>
                <w:rFonts w:ascii="宋体" w:hAnsi="宋体"/>
                <w:kern w:val="0"/>
                <w:sz w:val="24"/>
                <w:szCs w:val="20"/>
              </w:rPr>
              <w:t>GB18597-2001</w:t>
            </w:r>
            <w:r>
              <w:rPr>
                <w:rFonts w:hint="eastAsia" w:ascii="宋体" w:hAnsi="宋体"/>
                <w:kern w:val="0"/>
                <w:sz w:val="24"/>
                <w:szCs w:val="20"/>
              </w:rPr>
              <w:t>）</w:t>
            </w:r>
            <w:r>
              <w:rPr>
                <w:rFonts w:hint="eastAsia" w:ascii="宋体" w:hAnsi="宋体"/>
                <w:sz w:val="24"/>
                <w:szCs w:val="20"/>
              </w:rPr>
              <w:t>及其修改单</w:t>
            </w:r>
            <w:r>
              <w:rPr>
                <w:rFonts w:hint="eastAsia" w:ascii="宋体" w:hAnsi="宋体"/>
                <w:kern w:val="0"/>
                <w:sz w:val="24"/>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834" w:type="dxa"/>
          </w:tcPr>
          <w:p>
            <w:pPr>
              <w:pStyle w:val="3"/>
            </w:pPr>
            <w:r>
              <w:rPr>
                <w:rFonts w:hint="eastAsia"/>
              </w:rPr>
              <w:t>总</w:t>
            </w:r>
          </w:p>
          <w:p>
            <w:pPr>
              <w:pStyle w:val="3"/>
            </w:pPr>
            <w:r>
              <w:rPr>
                <w:rFonts w:hint="eastAsia"/>
              </w:rPr>
              <w:t>量</w:t>
            </w:r>
          </w:p>
          <w:p>
            <w:pPr>
              <w:pStyle w:val="3"/>
            </w:pPr>
            <w:r>
              <w:rPr>
                <w:rFonts w:hint="eastAsia"/>
              </w:rPr>
              <w:t>控</w:t>
            </w:r>
          </w:p>
          <w:p>
            <w:pPr>
              <w:pStyle w:val="3"/>
            </w:pPr>
            <w:r>
              <w:rPr>
                <w:rFonts w:hint="eastAsia"/>
              </w:rPr>
              <w:t>制</w:t>
            </w:r>
          </w:p>
          <w:p>
            <w:pPr>
              <w:pStyle w:val="3"/>
            </w:pPr>
            <w:r>
              <w:rPr>
                <w:rFonts w:hint="eastAsia"/>
              </w:rPr>
              <w:t>指</w:t>
            </w:r>
          </w:p>
          <w:p>
            <w:pPr>
              <w:pStyle w:val="3"/>
            </w:pPr>
            <w:r>
              <w:rPr>
                <w:rFonts w:hint="eastAsia"/>
              </w:rPr>
              <w:t>标</w:t>
            </w:r>
          </w:p>
        </w:tc>
        <w:tc>
          <w:tcPr>
            <w:tcW w:w="8535" w:type="dxa"/>
            <w:vAlign w:val="center"/>
          </w:tcPr>
          <w:p>
            <w:pPr>
              <w:spacing w:line="360" w:lineRule="auto"/>
              <w:ind w:firstLine="480" w:firstLineChars="200"/>
              <w:rPr>
                <w:sz w:val="24"/>
              </w:rPr>
            </w:pPr>
            <w:r>
              <w:rPr>
                <w:rFonts w:hint="eastAsia" w:ascii="宋体" w:hAnsi="宋体"/>
                <w:sz w:val="24"/>
              </w:rPr>
              <w:t>无</w:t>
            </w:r>
          </w:p>
        </w:tc>
      </w:tr>
    </w:tbl>
    <w:p>
      <w:pPr>
        <w:jc w:val="left"/>
        <w:rPr>
          <w:rFonts w:ascii="黑体" w:eastAsia="黑体"/>
          <w:sz w:val="30"/>
          <w:szCs w:val="30"/>
        </w:rPr>
      </w:pPr>
      <w:r>
        <w:rPr>
          <w:rFonts w:ascii="黑体" w:eastAsia="黑体"/>
          <w:sz w:val="30"/>
          <w:szCs w:val="30"/>
        </w:rPr>
        <w:t xml:space="preserve">5 </w:t>
      </w:r>
      <w:r>
        <w:rPr>
          <w:rFonts w:hint="eastAsia" w:ascii="黑体" w:eastAsia="黑体"/>
          <w:sz w:val="30"/>
          <w:szCs w:val="30"/>
        </w:rPr>
        <w:t>建设项目工程分析</w:t>
      </w:r>
    </w:p>
    <w:tbl>
      <w:tblPr>
        <w:tblStyle w:val="22"/>
        <w:tblW w:w="9628" w:type="dxa"/>
        <w:jc w:val="center"/>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9628"/>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6664" w:hRule="atLeast"/>
          <w:jc w:val="center"/>
        </w:trPr>
        <w:tc>
          <w:tcPr>
            <w:tcW w:w="9628" w:type="dxa"/>
            <w:tcBorders>
              <w:top w:val="single" w:color="auto" w:sz="4" w:space="0"/>
              <w:bottom w:val="single" w:color="auto" w:sz="4" w:space="0"/>
            </w:tcBorders>
          </w:tcPr>
          <w:p>
            <w:pPr>
              <w:spacing w:line="360" w:lineRule="auto"/>
              <w:rPr>
                <w:rFonts w:ascii="黑体" w:eastAsia="黑体"/>
                <w:sz w:val="28"/>
                <w:szCs w:val="28"/>
              </w:rPr>
            </w:pPr>
            <w:r>
              <w:rPr>
                <w:rFonts w:ascii="黑体" w:eastAsia="黑体"/>
                <w:sz w:val="28"/>
                <w:szCs w:val="28"/>
              </w:rPr>
              <w:t xml:space="preserve">5.1 </w:t>
            </w:r>
            <w:r>
              <w:rPr>
                <w:rFonts w:hint="eastAsia" w:ascii="黑体" w:eastAsia="黑体"/>
                <w:sz w:val="28"/>
                <w:szCs w:val="28"/>
              </w:rPr>
              <w:t>工艺流程简述</w:t>
            </w:r>
          </w:p>
          <w:p>
            <w:pPr>
              <w:adjustRightInd w:val="0"/>
              <w:snapToGrid w:val="0"/>
              <w:spacing w:line="360" w:lineRule="auto"/>
              <w:ind w:firstLine="420" w:firstLineChars="200"/>
              <w:rPr>
                <w:rFonts w:ascii="宋体" w:hAnsi="宋体"/>
                <w:snapToGrid w:val="0"/>
                <w:kern w:val="0"/>
                <w:sz w:val="24"/>
                <w:szCs w:val="20"/>
              </w:rPr>
            </w:pPr>
            <w:r>
              <w:drawing>
                <wp:anchor distT="0" distB="0" distL="114300" distR="114300" simplePos="0" relativeHeight="251734016" behindDoc="1" locked="0" layoutInCell="1" allowOverlap="1">
                  <wp:simplePos x="0" y="0"/>
                  <wp:positionH relativeFrom="column">
                    <wp:posOffset>-26035</wp:posOffset>
                  </wp:positionH>
                  <wp:positionV relativeFrom="paragraph">
                    <wp:posOffset>1069975</wp:posOffset>
                  </wp:positionV>
                  <wp:extent cx="5969635" cy="1595755"/>
                  <wp:effectExtent l="0" t="0" r="12065" b="4445"/>
                  <wp:wrapNone/>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22"/>
                          <a:stretch>
                            <a:fillRect/>
                          </a:stretch>
                        </pic:blipFill>
                        <pic:spPr>
                          <a:xfrm>
                            <a:off x="0" y="0"/>
                            <a:ext cx="5969635" cy="1595755"/>
                          </a:xfrm>
                          <a:prstGeom prst="rect">
                            <a:avLst/>
                          </a:prstGeom>
                          <a:noFill/>
                          <a:ln w="9525">
                            <a:noFill/>
                          </a:ln>
                        </pic:spPr>
                      </pic:pic>
                    </a:graphicData>
                  </a:graphic>
                </wp:anchor>
              </w:drawing>
            </w:r>
            <w:r>
              <w:rPr>
                <w:rFonts w:hint="eastAsia" w:ascii="宋体" w:hAnsi="宋体"/>
                <w:snapToGrid w:val="0"/>
                <w:kern w:val="0"/>
                <w:sz w:val="24"/>
                <w:szCs w:val="20"/>
              </w:rPr>
              <w:t>变电站是电力系统中变换电压、接受和分配电能、控制电力的流向和调整电压的电力装置，通过变电站将不同电压的电力网联系起来。11</w:t>
            </w:r>
            <w:r>
              <w:rPr>
                <w:rFonts w:ascii="宋体" w:hAnsi="宋体"/>
                <w:snapToGrid w:val="0"/>
                <w:kern w:val="0"/>
                <w:sz w:val="24"/>
                <w:szCs w:val="20"/>
              </w:rPr>
              <w:t>0kV</w:t>
            </w:r>
            <w:r>
              <w:rPr>
                <w:rFonts w:hint="eastAsia" w:ascii="宋体" w:hAnsi="宋体"/>
                <w:snapToGrid w:val="0"/>
                <w:kern w:val="0"/>
                <w:sz w:val="24"/>
                <w:szCs w:val="20"/>
              </w:rPr>
              <w:t>的电能通过线路到达变电站的11</w:t>
            </w:r>
            <w:r>
              <w:rPr>
                <w:rFonts w:ascii="宋体" w:hAnsi="宋体"/>
                <w:snapToGrid w:val="0"/>
                <w:kern w:val="0"/>
                <w:sz w:val="24"/>
                <w:szCs w:val="20"/>
              </w:rPr>
              <w:t>0kV</w:t>
            </w:r>
            <w:r>
              <w:rPr>
                <w:rFonts w:hint="eastAsia" w:ascii="宋体" w:hAnsi="宋体"/>
                <w:snapToGrid w:val="0"/>
                <w:kern w:val="0"/>
                <w:sz w:val="24"/>
                <w:szCs w:val="20"/>
              </w:rPr>
              <w:t>配电装置，再经过主变压器降压为10</w:t>
            </w:r>
            <w:r>
              <w:rPr>
                <w:rFonts w:ascii="宋体" w:hAnsi="宋体"/>
                <w:snapToGrid w:val="0"/>
                <w:kern w:val="0"/>
                <w:sz w:val="24"/>
                <w:szCs w:val="20"/>
              </w:rPr>
              <w:t>kV</w:t>
            </w:r>
            <w:r>
              <w:rPr>
                <w:rFonts w:hint="eastAsia" w:ascii="宋体" w:hAnsi="宋体"/>
                <w:snapToGrid w:val="0"/>
                <w:kern w:val="0"/>
                <w:sz w:val="24"/>
                <w:szCs w:val="20"/>
              </w:rPr>
              <w:t>，最后通过10</w:t>
            </w:r>
            <w:r>
              <w:rPr>
                <w:rFonts w:ascii="宋体" w:hAnsi="宋体"/>
                <w:snapToGrid w:val="0"/>
                <w:kern w:val="0"/>
                <w:sz w:val="24"/>
                <w:szCs w:val="20"/>
              </w:rPr>
              <w:t>kV</w:t>
            </w:r>
            <w:r>
              <w:rPr>
                <w:rFonts w:hint="eastAsia" w:ascii="宋体" w:hAnsi="宋体"/>
                <w:snapToGrid w:val="0"/>
                <w:kern w:val="0"/>
                <w:sz w:val="24"/>
                <w:szCs w:val="20"/>
              </w:rPr>
              <w:t>线路送出。主要工艺流程见图</w:t>
            </w:r>
            <w:r>
              <w:rPr>
                <w:rFonts w:ascii="宋体" w:hAnsi="宋体"/>
                <w:snapToGrid w:val="0"/>
                <w:kern w:val="0"/>
                <w:sz w:val="24"/>
                <w:szCs w:val="20"/>
              </w:rPr>
              <w:t>5-1</w:t>
            </w:r>
            <w:r>
              <w:rPr>
                <w:rFonts w:hint="eastAsia" w:ascii="宋体" w:hAnsi="宋体"/>
                <w:snapToGrid w:val="0"/>
                <w:kern w:val="0"/>
                <w:sz w:val="24"/>
                <w:szCs w:val="20"/>
              </w:rPr>
              <w:t>。</w:t>
            </w:r>
          </w:p>
          <w:p>
            <w:pPr>
              <w:jc w:val="center"/>
              <w:rPr>
                <w:rFonts w:ascii="宋体" w:cs="Arial"/>
                <w:sz w:val="24"/>
              </w:rPr>
            </w:pPr>
          </w:p>
          <w:p>
            <w:pPr>
              <w:pStyle w:val="5"/>
              <w:spacing w:before="93" w:beforeLines="30" w:line="360" w:lineRule="auto"/>
              <w:ind w:firstLine="480"/>
              <w:jc w:val="center"/>
              <w:rPr>
                <w:rFonts w:hint="eastAsia" w:ascii="黑体" w:hAnsi="宋体" w:eastAsia="黑体"/>
                <w:snapToGrid w:val="0"/>
                <w:kern w:val="0"/>
                <w:szCs w:val="21"/>
              </w:rPr>
            </w:pPr>
          </w:p>
          <w:p>
            <w:pPr>
              <w:pStyle w:val="5"/>
              <w:spacing w:before="93" w:beforeLines="30" w:line="360" w:lineRule="auto"/>
              <w:ind w:firstLine="480"/>
              <w:jc w:val="center"/>
              <w:rPr>
                <w:rFonts w:hint="eastAsia" w:ascii="黑体" w:hAnsi="宋体" w:eastAsia="黑体"/>
                <w:snapToGrid w:val="0"/>
                <w:kern w:val="0"/>
                <w:szCs w:val="21"/>
              </w:rPr>
            </w:pPr>
          </w:p>
          <w:p>
            <w:pPr>
              <w:pStyle w:val="5"/>
              <w:spacing w:before="93" w:beforeLines="30" w:line="360" w:lineRule="auto"/>
              <w:ind w:firstLine="480"/>
              <w:jc w:val="center"/>
              <w:rPr>
                <w:rFonts w:hint="eastAsia" w:ascii="黑体" w:hAnsi="宋体" w:eastAsia="黑体"/>
                <w:snapToGrid w:val="0"/>
                <w:kern w:val="0"/>
                <w:szCs w:val="21"/>
              </w:rPr>
            </w:pPr>
            <w:r>
              <w:rPr>
                <w:sz w:val="24"/>
              </w:rPr>
              <w:pict>
                <v:shape id="_x0000_s2182" o:spid="_x0000_s2182" o:spt="202" type="#_x0000_t202" style="position:absolute;left:0pt;margin-left:232.6pt;margin-top:11.45pt;height:21.95pt;width:156.15pt;z-index:251734016;mso-width-relative:page;mso-height-relative:page;" filled="f" stroked="f" coordsize="21600,21600">
                  <v:path/>
                  <v:fill on="f" focussize="0,0"/>
                  <v:stroke on="f"/>
                  <v:imagedata o:title=""/>
                  <o:lock v:ext="edit" aspectratio="f"/>
                  <v:textbox>
                    <w:txbxContent>
                      <w:p>
                        <w:pPr>
                          <w:rPr>
                            <w:rFonts w:hint="eastAsia"/>
                            <w:lang w:val="en-US" w:eastAsia="zh-CN"/>
                          </w:rPr>
                        </w:pPr>
                        <w:r>
                          <w:rPr>
                            <w:rFonts w:hint="eastAsia"/>
                            <w:color w:val="auto"/>
                          </w:rPr>
                          <w:t>炼铁鼓风110kV变配电站工程</w:t>
                        </w:r>
                      </w:p>
                    </w:txbxContent>
                  </v:textbox>
                </v:shape>
              </w:pict>
            </w:r>
          </w:p>
          <w:p>
            <w:pPr>
              <w:pStyle w:val="5"/>
              <w:spacing w:before="93" w:beforeLines="30" w:line="360" w:lineRule="auto"/>
              <w:ind w:firstLine="480"/>
              <w:jc w:val="center"/>
              <w:rPr>
                <w:rFonts w:ascii="黑体" w:hAnsi="宋体" w:eastAsia="黑体"/>
                <w:snapToGrid w:val="0"/>
                <w:kern w:val="0"/>
                <w:szCs w:val="21"/>
              </w:rPr>
            </w:pPr>
            <w:r>
              <w:rPr>
                <w:rFonts w:hint="eastAsia" w:ascii="黑体" w:hAnsi="宋体" w:eastAsia="黑体"/>
                <w:snapToGrid w:val="0"/>
                <w:kern w:val="0"/>
                <w:szCs w:val="21"/>
              </w:rPr>
              <w:t>图</w:t>
            </w:r>
            <w:r>
              <w:rPr>
                <w:rFonts w:ascii="黑体" w:hAnsi="宋体" w:eastAsia="黑体"/>
                <w:snapToGrid w:val="0"/>
                <w:kern w:val="0"/>
                <w:szCs w:val="21"/>
              </w:rPr>
              <w:t xml:space="preserve">5-1  </w:t>
            </w:r>
            <w:r>
              <w:rPr>
                <w:rFonts w:hint="eastAsia" w:ascii="黑体" w:hAnsi="宋体" w:eastAsia="黑体" w:cs="Times New Roman"/>
                <w:snapToGrid w:val="0"/>
                <w:kern w:val="0"/>
                <w:szCs w:val="21"/>
                <w:lang w:val="en-US" w:eastAsia="zh-CN"/>
              </w:rPr>
              <w:t>本工程</w:t>
            </w:r>
            <w:r>
              <w:rPr>
                <w:rFonts w:hint="eastAsia" w:ascii="黑体" w:hAnsi="宋体" w:eastAsia="黑体"/>
                <w:snapToGrid w:val="0"/>
                <w:kern w:val="0"/>
                <w:szCs w:val="21"/>
              </w:rPr>
              <w:t>工艺流程示意图</w:t>
            </w:r>
          </w:p>
          <w:p>
            <w:pPr>
              <w:spacing w:line="360" w:lineRule="auto"/>
              <w:ind w:firstLine="480" w:firstLineChars="200"/>
              <w:rPr>
                <w:rFonts w:ascii="黑体" w:hAnsi="宋体" w:eastAsia="黑体"/>
                <w:snapToGrid w:val="0"/>
                <w:kern w:val="0"/>
                <w:szCs w:val="21"/>
              </w:rPr>
            </w:pPr>
            <w:r>
              <w:rPr>
                <w:rFonts w:hint="eastAsia" w:ascii="宋体" w:hAnsi="宋体" w:cs="宋体"/>
                <w:color w:val="000000" w:themeColor="text1"/>
                <w:sz w:val="24"/>
              </w:rPr>
              <w:t>输电线路是从电厂或变电站向消费电能地区输送大量电能的主要渠道或不同电力网之间互送大量电力的联网渠道，是电力系统组成网络的必要部分。输电线路一般采用架空和电缆两种形式，架空线路一般由塔基、杆塔、架空线以及</w:t>
            </w:r>
            <w:r>
              <w:rPr>
                <w:rFonts w:hint="eastAsia" w:ascii="宋体" w:hAnsi="宋体" w:cs="宋体"/>
                <w:color w:val="000000" w:themeColor="text1"/>
                <w:sz w:val="24"/>
                <w:lang w:val="en-US" w:eastAsia="zh-CN"/>
              </w:rPr>
              <w:t>绝缘子</w:t>
            </w:r>
            <w:r>
              <w:rPr>
                <w:rFonts w:hint="eastAsia" w:ascii="宋体" w:hAnsi="宋体" w:cs="宋体"/>
                <w:color w:val="000000" w:themeColor="text1"/>
                <w:sz w:val="24"/>
              </w:rPr>
              <w:t>等组成，电缆以电缆隧道、包管排封、水泥槽</w:t>
            </w:r>
            <w:r>
              <w:rPr>
                <w:rFonts w:hint="eastAsia" w:ascii="宋体" w:hAnsi="宋体" w:cs="宋体"/>
                <w:color w:val="000000" w:themeColor="text1"/>
                <w:sz w:val="24"/>
                <w:lang w:val="en-US" w:eastAsia="zh-CN"/>
              </w:rPr>
              <w:t>及架空通廊</w:t>
            </w:r>
            <w:r>
              <w:rPr>
                <w:rFonts w:hint="eastAsia" w:ascii="宋体" w:hAnsi="宋体" w:cs="宋体"/>
                <w:color w:val="000000" w:themeColor="text1"/>
                <w:sz w:val="24"/>
              </w:rPr>
              <w:t>等形式进行敷设。</w:t>
            </w:r>
          </w:p>
          <w:p>
            <w:pPr>
              <w:spacing w:line="360" w:lineRule="auto"/>
              <w:rPr>
                <w:rFonts w:ascii="黑体" w:eastAsia="黑体"/>
                <w:sz w:val="28"/>
                <w:szCs w:val="28"/>
              </w:rPr>
            </w:pPr>
            <w:r>
              <w:rPr>
                <w:rFonts w:ascii="黑体" w:eastAsia="黑体"/>
                <w:sz w:val="28"/>
                <w:szCs w:val="28"/>
              </w:rPr>
              <w:t>5.2</w:t>
            </w:r>
            <w:r>
              <w:rPr>
                <w:rFonts w:hint="eastAsia" w:ascii="黑体" w:eastAsia="黑体"/>
                <w:sz w:val="28"/>
                <w:szCs w:val="28"/>
              </w:rPr>
              <w:t>主要污染工序及污染防治措施</w:t>
            </w:r>
          </w:p>
          <w:p>
            <w:pPr>
              <w:spacing w:line="360" w:lineRule="auto"/>
              <w:rPr>
                <w:rFonts w:ascii="黑体" w:hAnsi="黑体" w:eastAsia="黑体"/>
                <w:snapToGrid w:val="0"/>
                <w:kern w:val="0"/>
                <w:sz w:val="24"/>
              </w:rPr>
            </w:pPr>
            <w:r>
              <w:rPr>
                <w:rFonts w:hint="eastAsia" w:ascii="黑体" w:hAnsi="黑体" w:eastAsia="黑体"/>
                <w:snapToGrid w:val="0"/>
                <w:kern w:val="0"/>
                <w:sz w:val="24"/>
              </w:rPr>
              <w:t>5.2.1 主要污染工序</w:t>
            </w:r>
          </w:p>
          <w:p>
            <w:pPr>
              <w:spacing w:line="360" w:lineRule="auto"/>
              <w:ind w:firstLine="480" w:firstLineChars="200"/>
              <w:rPr>
                <w:rFonts w:ascii="宋体"/>
                <w:bCs/>
                <w:sz w:val="24"/>
              </w:rPr>
            </w:pPr>
            <w:r>
              <w:rPr>
                <w:rFonts w:hint="eastAsia" w:ascii="宋体" w:hAnsi="宋体"/>
                <w:bCs/>
                <w:sz w:val="24"/>
              </w:rPr>
              <w:t>建设项目主要污染工序分为施工期和营运期两阶段。炼铁鼓风110kV变电站于2015年建成投运，施工期对环境的影响已消失，本次评价不再考虑施工期影响，仅对营运期污染因素及评价因子进行分析。营运期的主要污染工序包括工频电场、工频磁场、噪声、废水及固废。主要污染工序见图</w:t>
            </w:r>
            <w:r>
              <w:rPr>
                <w:rFonts w:ascii="宋体" w:hAnsi="宋体"/>
                <w:bCs/>
                <w:sz w:val="24"/>
              </w:rPr>
              <w:t>5-2</w:t>
            </w:r>
            <w:r>
              <w:rPr>
                <w:rFonts w:hint="eastAsia" w:ascii="宋体" w:hAnsi="宋体"/>
                <w:bCs/>
                <w:sz w:val="24"/>
              </w:rPr>
              <w:t>。</w:t>
            </w:r>
          </w:p>
          <w:p>
            <w:pPr>
              <w:tabs>
                <w:tab w:val="left" w:pos="3384"/>
                <w:tab w:val="center" w:pos="4532"/>
              </w:tabs>
              <w:spacing w:before="93" w:beforeLines="30" w:line="360" w:lineRule="auto"/>
              <w:jc w:val="center"/>
              <w:rPr>
                <w:rFonts w:hAnsi="宋体"/>
                <w:szCs w:val="21"/>
              </w:rPr>
            </w:pPr>
            <w:r>
              <w:rPr>
                <w:sz w:val="21"/>
              </w:rPr>
              <w:pict>
                <v:shape id="直接箭头连接符 115" o:spid="_x0000_s2191" o:spt="32" type="#_x0000_t32" style="position:absolute;left:0pt;margin-left:145.75pt;margin-top:45.35pt;height:26.25pt;width:0pt;z-index:251832320;mso-width-relative:page;mso-height-relative:page;" filled="f" stroked="t" coordsize="21600,21600" o:gfxdata="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r/un&#10;s9cAAAAKAQAADwAAAAAAAAABACAAAAAiAAAAZHJzL2Rvd25yZXYueG1sUEsBAhQAFAAAAAgAh07i&#10;QJvUYE/qAQAAiAMAAA4AAAAAAAAAAQAgAAAAJgEAAGRycy9lMm9Eb2MueG1sUEsFBgAAAAAGAAYA&#10;WQEAAIIFAAAAAA==&#10;">
                  <v:path arrowok="t"/>
                  <v:fill on="f" focussize="0,0"/>
                  <v:stroke color="#000000" joinstyle="round" endarrow="open"/>
                  <v:imagedata o:title=""/>
                  <o:lock v:ext="edit" aspectratio="f"/>
                </v:shape>
              </w:pict>
            </w:r>
            <w:r>
              <w:rPr>
                <w:sz w:val="21"/>
              </w:rPr>
              <w:pict>
                <v:rect id="_x0000_s2190" o:spid="_x0000_s2190" o:spt="1" style="position:absolute;left:0pt;margin-left:40pt;margin-top:70.15pt;height:24.75pt;width:118.5pt;z-index:251800576;v-text-anchor:middle;mso-width-relative:page;mso-height-relative:page;" filled="f" stroked="t" coordsize="21600,21600" o:gfxdata="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NCG6ivZAAAACgEAAA8AAAAAAAAAAQAgAAAAIgAAAGRycy9kb3ducmV2LnhtbFBLAQIU&#10;ABQAAAAIAIdO4kCvej/TZAIAAKQEAAAOAAAAAAAAAAEAIAAAACgBAABkcnMvZTJvRG9jLnhtbFBL&#10;BQYAAAAABgAGAFkBAAD+BQAAAAA=&#10;">
                  <v:path/>
                  <v:fill on="f" focussize="0,0"/>
                  <v:stroke weight="1pt" color="#385D8A" joinstyle="round" dashstyle="3 1"/>
                  <v:imagedata o:title=""/>
                  <o:lock v:ext="edit" aspectratio="f"/>
                  <v:textbox>
                    <w:txbxContent>
                      <w:p>
                        <w:pPr>
                          <w:jc w:val="center"/>
                          <w:rPr>
                            <w:rFonts w:hint="eastAsia" w:eastAsia="宋体"/>
                            <w:color w:val="auto"/>
                            <w:lang w:val="en-US" w:eastAsia="zh-CN"/>
                          </w:rPr>
                        </w:pPr>
                        <w:r>
                          <w:rPr>
                            <w:rFonts w:hint="eastAsia"/>
                            <w:color w:val="auto"/>
                            <w:lang w:val="en-US" w:eastAsia="zh-CN"/>
                          </w:rPr>
                          <w:t>工频电场、磁场、噪声</w:t>
                        </w:r>
                      </w:p>
                    </w:txbxContent>
                  </v:textbox>
                </v:rect>
              </w:pict>
            </w:r>
            <w:r>
              <w:object>
                <v:shape id="_x0000_i1025" o:spt="75" type="#_x0000_t75" style="height:88.5pt;width:303pt;" o:ole="t" filled="f" o:preferrelative="t" stroked="f" coordsize="21600,21600">
                  <v:path/>
                  <v:fill on="f" focussize="0,0"/>
                  <v:stroke on="f" joinstyle="miter"/>
                  <v:imagedata r:id="rId24" o:title=""/>
                  <o:lock v:ext="edit" aspectratio="t"/>
                  <w10:wrap type="none"/>
                  <w10:anchorlock/>
                </v:shape>
                <o:OLEObject Type="Embed" ProgID="Visio.Drawing.11" ShapeID="_x0000_i1025" DrawAspect="Content" ObjectID="_1468075725" r:id="rId23">
                  <o:LockedField>false</o:LockedField>
                </o:OLEObject>
              </w:object>
            </w:r>
          </w:p>
          <w:p>
            <w:pPr>
              <w:spacing w:line="360" w:lineRule="auto"/>
              <w:ind w:firstLine="480" w:firstLineChars="200"/>
              <w:jc w:val="center"/>
              <w:rPr>
                <w:rFonts w:hAnsi="宋体"/>
                <w:snapToGrid w:val="0"/>
                <w:kern w:val="0"/>
                <w:sz w:val="24"/>
              </w:rPr>
            </w:pPr>
            <w:r>
              <w:rPr>
                <w:rFonts w:hint="eastAsia" w:ascii="黑体" w:hAnsi="宋体" w:eastAsia="黑体"/>
                <w:sz w:val="24"/>
              </w:rPr>
              <w:t>图</w:t>
            </w:r>
            <w:r>
              <w:rPr>
                <w:rFonts w:ascii="黑体" w:eastAsia="黑体"/>
                <w:sz w:val="24"/>
              </w:rPr>
              <w:t xml:space="preserve">5-2  </w:t>
            </w:r>
            <w:r>
              <w:rPr>
                <w:rFonts w:hint="eastAsia" w:ascii="黑体" w:hAnsi="宋体" w:eastAsia="黑体"/>
                <w:sz w:val="24"/>
              </w:rPr>
              <w:t>变电站</w:t>
            </w:r>
            <w:r>
              <w:rPr>
                <w:rFonts w:hint="eastAsia" w:ascii="黑体" w:hAnsi="宋体" w:eastAsia="黑体" w:cs="Arial"/>
                <w:sz w:val="24"/>
              </w:rPr>
              <w:t>主要污染工序图</w:t>
            </w:r>
          </w:p>
          <w:p>
            <w:pPr>
              <w:spacing w:line="460" w:lineRule="exact"/>
              <w:rPr>
                <w:rFonts w:ascii="黑体" w:hAnsi="宋体" w:eastAsia="黑体"/>
                <w:snapToGrid w:val="0"/>
                <w:kern w:val="0"/>
                <w:sz w:val="24"/>
              </w:rPr>
            </w:pPr>
            <w:r>
              <w:rPr>
                <w:rFonts w:hint="eastAsia" w:ascii="黑体" w:hAnsi="宋体" w:eastAsia="黑体"/>
                <w:bCs/>
                <w:sz w:val="24"/>
              </w:rPr>
              <w:t>5.2.2</w:t>
            </w:r>
            <w:r>
              <w:rPr>
                <w:rFonts w:hint="eastAsia" w:ascii="黑体" w:hAnsi="宋体" w:eastAsia="黑体"/>
                <w:snapToGrid w:val="0"/>
                <w:kern w:val="0"/>
                <w:sz w:val="24"/>
              </w:rPr>
              <w:t>污染防治措施</w:t>
            </w:r>
          </w:p>
          <w:p>
            <w:pPr>
              <w:adjustRightInd w:val="0"/>
              <w:spacing w:line="460" w:lineRule="exact"/>
              <w:ind w:left="4" w:leftChars="2" w:firstLine="482" w:firstLineChars="200"/>
              <w:rPr>
                <w:rFonts w:ascii="宋体"/>
                <w:b/>
                <w:snapToGrid w:val="0"/>
                <w:kern w:val="0"/>
                <w:sz w:val="24"/>
              </w:rPr>
            </w:pPr>
            <w:r>
              <w:rPr>
                <w:rFonts w:ascii="宋体" w:hAnsi="宋体"/>
                <w:b/>
                <w:snapToGrid w:val="0"/>
                <w:kern w:val="0"/>
                <w:sz w:val="24"/>
              </w:rPr>
              <w:t>1</w:t>
            </w:r>
            <w:r>
              <w:rPr>
                <w:rFonts w:hint="eastAsia" w:ascii="宋体" w:hAnsi="宋体"/>
                <w:b/>
                <w:snapToGrid w:val="0"/>
                <w:kern w:val="0"/>
                <w:sz w:val="24"/>
              </w:rPr>
              <w:t>、污染因素分析</w:t>
            </w:r>
          </w:p>
          <w:p>
            <w:pPr>
              <w:spacing w:line="460" w:lineRule="exact"/>
              <w:ind w:firstLine="480" w:firstLineChars="200"/>
              <w:rPr>
                <w:rFonts w:ascii="宋体"/>
                <w:snapToGrid w:val="0"/>
                <w:kern w:val="0"/>
                <w:sz w:val="24"/>
              </w:rPr>
            </w:pPr>
            <w:r>
              <w:rPr>
                <w:rFonts w:hint="eastAsia" w:hAnsi="宋体"/>
                <w:snapToGrid w:val="0"/>
                <w:kern w:val="0"/>
                <w:sz w:val="24"/>
                <w:highlight w:val="none"/>
              </w:rPr>
              <w:t>变电站营运期的主要环境影响因子包括工频电场、工频磁场、噪声以及</w:t>
            </w:r>
            <w:r>
              <w:rPr>
                <w:rFonts w:hint="eastAsia" w:hAnsi="宋体"/>
                <w:snapToGrid w:val="0"/>
                <w:kern w:val="0"/>
                <w:sz w:val="24"/>
                <w:highlight w:val="none"/>
                <w:lang w:val="en-US" w:eastAsia="zh-CN"/>
              </w:rPr>
              <w:t>巡检</w:t>
            </w:r>
            <w:r>
              <w:rPr>
                <w:rFonts w:hint="eastAsia" w:hAnsi="宋体"/>
                <w:snapToGrid w:val="0"/>
                <w:kern w:val="0"/>
                <w:sz w:val="24"/>
                <w:highlight w:val="none"/>
              </w:rPr>
              <w:t>人员产生的</w:t>
            </w:r>
            <w:r>
              <w:rPr>
                <w:rFonts w:hint="eastAsia" w:hAnsi="宋体"/>
                <w:snapToGrid w:val="0"/>
                <w:kern w:val="0"/>
                <w:sz w:val="24"/>
                <w:highlight w:val="none"/>
                <w:lang w:val="en-US" w:eastAsia="zh-CN"/>
              </w:rPr>
              <w:t>少量</w:t>
            </w:r>
            <w:r>
              <w:rPr>
                <w:rFonts w:hint="eastAsia" w:hAnsi="宋体"/>
                <w:snapToGrid w:val="0"/>
                <w:kern w:val="0"/>
                <w:sz w:val="24"/>
                <w:highlight w:val="none"/>
              </w:rPr>
              <w:t>生活污水、生活垃圾，更换的废旧铅酸蓄电池以及事故状态下产生的废变压器油</w:t>
            </w:r>
            <w:r>
              <w:rPr>
                <w:rFonts w:hint="eastAsia" w:ascii="宋体" w:hAnsi="宋体"/>
                <w:snapToGrid w:val="0"/>
                <w:kern w:val="0"/>
                <w:sz w:val="24"/>
                <w:highlight w:val="none"/>
              </w:rPr>
              <w:t>。</w:t>
            </w:r>
          </w:p>
          <w:p>
            <w:pPr>
              <w:spacing w:line="460" w:lineRule="exact"/>
              <w:ind w:firstLine="480" w:firstLineChars="200"/>
              <w:rPr>
                <w:rFonts w:ascii="宋体"/>
                <w:snapToGrid w:val="0"/>
                <w:kern w:val="0"/>
                <w:sz w:val="24"/>
              </w:rPr>
            </w:pPr>
            <w:r>
              <w:rPr>
                <w:rFonts w:hint="eastAsia" w:ascii="宋体" w:hAnsi="宋体"/>
                <w:snapToGrid w:val="0"/>
                <w:kern w:val="0"/>
                <w:sz w:val="24"/>
              </w:rPr>
              <w:t>（</w:t>
            </w:r>
            <w:r>
              <w:rPr>
                <w:rFonts w:ascii="宋体" w:hAnsi="宋体"/>
                <w:snapToGrid w:val="0"/>
                <w:kern w:val="0"/>
                <w:sz w:val="24"/>
              </w:rPr>
              <w:t>1</w:t>
            </w:r>
            <w:r>
              <w:rPr>
                <w:rFonts w:hint="eastAsia" w:ascii="宋体" w:hAnsi="宋体"/>
                <w:snapToGrid w:val="0"/>
                <w:kern w:val="0"/>
                <w:sz w:val="24"/>
              </w:rPr>
              <w:t>）</w:t>
            </w:r>
            <w:r>
              <w:rPr>
                <w:rFonts w:hint="eastAsia" w:hAnsi="宋体"/>
                <w:snapToGrid w:val="0"/>
                <w:kern w:val="0"/>
                <w:sz w:val="24"/>
              </w:rPr>
              <w:t>工频电场、工频磁场</w:t>
            </w:r>
          </w:p>
          <w:p>
            <w:pPr>
              <w:spacing w:line="460" w:lineRule="exact"/>
              <w:ind w:firstLine="480" w:firstLineChars="200"/>
              <w:rPr>
                <w:rFonts w:ascii="宋体" w:hAnsi="宋体"/>
                <w:snapToGrid w:val="0"/>
                <w:kern w:val="0"/>
                <w:sz w:val="24"/>
              </w:rPr>
            </w:pPr>
            <w:r>
              <w:rPr>
                <w:rFonts w:hint="eastAsia" w:hAnsi="宋体"/>
                <w:snapToGrid w:val="0"/>
                <w:kern w:val="0"/>
                <w:sz w:val="24"/>
              </w:rPr>
              <w:t>变电站</w:t>
            </w:r>
            <w:r>
              <w:rPr>
                <w:rFonts w:hint="eastAsia" w:ascii="宋体" w:hAnsi="宋体"/>
                <w:snapToGrid w:val="0"/>
                <w:kern w:val="0"/>
                <w:sz w:val="24"/>
              </w:rPr>
              <w:t>内的开关操作、高压线以及电气设备附近，因高电压、大电流而产生较强的电磁场。输电线路在运营期间因高电压、大电流而产生电、磁场。</w:t>
            </w:r>
          </w:p>
          <w:p>
            <w:pPr>
              <w:spacing w:line="460" w:lineRule="exact"/>
              <w:ind w:firstLine="480" w:firstLineChars="200"/>
              <w:rPr>
                <w:rFonts w:ascii="宋体"/>
                <w:snapToGrid w:val="0"/>
                <w:kern w:val="0"/>
                <w:sz w:val="24"/>
              </w:rPr>
            </w:pPr>
            <w:r>
              <w:rPr>
                <w:rFonts w:hint="eastAsia" w:ascii="宋体" w:hAnsi="宋体"/>
                <w:snapToGrid w:val="0"/>
                <w:kern w:val="0"/>
                <w:sz w:val="24"/>
              </w:rPr>
              <w:t>输电线路工作时，其电压等级较高，相对地面将产生一定的静电感应，即有一个电磁辐射场。三相导线离地面越高，相当于带电体离地面越远，则它在地面附近产生的电场强度就越小。</w:t>
            </w:r>
          </w:p>
          <w:p>
            <w:pPr>
              <w:spacing w:line="460" w:lineRule="exact"/>
              <w:ind w:firstLine="480" w:firstLineChars="200"/>
              <w:rPr>
                <w:rFonts w:ascii="宋体"/>
                <w:snapToGrid w:val="0"/>
                <w:kern w:val="0"/>
                <w:sz w:val="24"/>
              </w:rPr>
            </w:pPr>
            <w:r>
              <w:rPr>
                <w:rFonts w:hint="eastAsia" w:ascii="宋体" w:hAnsi="宋体"/>
                <w:snapToGrid w:val="0"/>
                <w:kern w:val="0"/>
                <w:sz w:val="24"/>
              </w:rPr>
              <w:t>（</w:t>
            </w:r>
            <w:r>
              <w:rPr>
                <w:rFonts w:ascii="宋体" w:hAnsi="宋体"/>
                <w:snapToGrid w:val="0"/>
                <w:kern w:val="0"/>
                <w:sz w:val="24"/>
              </w:rPr>
              <w:t>2</w:t>
            </w:r>
            <w:r>
              <w:rPr>
                <w:rFonts w:hint="eastAsia" w:ascii="宋体" w:hAnsi="宋体"/>
                <w:snapToGrid w:val="0"/>
                <w:kern w:val="0"/>
                <w:sz w:val="24"/>
              </w:rPr>
              <w:t>）噪声</w:t>
            </w:r>
          </w:p>
          <w:p>
            <w:pPr>
              <w:spacing w:line="460" w:lineRule="exact"/>
              <w:ind w:firstLine="480" w:firstLineChars="200"/>
              <w:rPr>
                <w:rFonts w:ascii="宋体" w:hAnsi="宋体"/>
                <w:snapToGrid w:val="0"/>
                <w:spacing w:val="-4"/>
                <w:kern w:val="0"/>
                <w:sz w:val="24"/>
              </w:rPr>
            </w:pPr>
            <w:r>
              <w:rPr>
                <w:rFonts w:hint="eastAsia" w:hAnsi="宋体"/>
                <w:snapToGrid w:val="0"/>
                <w:kern w:val="0"/>
                <w:sz w:val="24"/>
              </w:rPr>
              <w:t>变电站</w:t>
            </w:r>
            <w:r>
              <w:rPr>
                <w:rFonts w:hint="eastAsia" w:ascii="宋体" w:hAnsi="宋体"/>
                <w:snapToGrid w:val="0"/>
                <w:kern w:val="0"/>
                <w:sz w:val="24"/>
              </w:rPr>
              <w:t>的变压器是噪声主要来源。变压器的本体噪声在通常情况下主要取决于铁芯的振动，变压器本体的振动通过绝缘油、管接头及装配零件等传递给冷却装置，使冷却装置的振动加剧，增大噪声的辐射，变电站运营期间噪声以中低频为主</w:t>
            </w:r>
            <w:r>
              <w:rPr>
                <w:rFonts w:hint="eastAsia" w:ascii="宋体" w:hAnsi="宋体"/>
                <w:snapToGrid w:val="0"/>
                <w:spacing w:val="-4"/>
                <w:kern w:val="0"/>
                <w:sz w:val="24"/>
              </w:rPr>
              <w:t>。</w:t>
            </w:r>
            <w:r>
              <w:rPr>
                <w:rFonts w:hint="eastAsia" w:ascii="宋体"/>
                <w:sz w:val="24"/>
                <w:highlight w:val="none"/>
                <w:lang w:val="en-US" w:eastAsia="zh-CN"/>
              </w:rPr>
              <w:t>本工程输电线路为电缆线路，不产生噪声影响</w:t>
            </w:r>
          </w:p>
          <w:p>
            <w:pPr>
              <w:spacing w:line="460" w:lineRule="exact"/>
              <w:ind w:firstLine="464" w:firstLineChars="200"/>
              <w:rPr>
                <w:rFonts w:ascii="宋体"/>
                <w:snapToGrid w:val="0"/>
                <w:spacing w:val="-4"/>
                <w:kern w:val="0"/>
                <w:sz w:val="24"/>
              </w:rPr>
            </w:pPr>
            <w:r>
              <w:rPr>
                <w:rFonts w:hint="eastAsia" w:ascii="宋体" w:hAnsi="宋体"/>
                <w:snapToGrid w:val="0"/>
                <w:spacing w:val="-4"/>
                <w:kern w:val="0"/>
                <w:sz w:val="24"/>
              </w:rPr>
              <w:t>（</w:t>
            </w:r>
            <w:r>
              <w:rPr>
                <w:rFonts w:ascii="宋体" w:hAnsi="宋体"/>
                <w:snapToGrid w:val="0"/>
                <w:spacing w:val="-4"/>
                <w:kern w:val="0"/>
                <w:sz w:val="24"/>
              </w:rPr>
              <w:t>3</w:t>
            </w:r>
            <w:r>
              <w:rPr>
                <w:rFonts w:hint="eastAsia" w:ascii="宋体" w:hAnsi="宋体"/>
                <w:snapToGrid w:val="0"/>
                <w:spacing w:val="-4"/>
                <w:kern w:val="0"/>
                <w:sz w:val="24"/>
              </w:rPr>
              <w:t>）废水</w:t>
            </w:r>
          </w:p>
          <w:p>
            <w:pPr>
              <w:spacing w:line="460" w:lineRule="exact"/>
              <w:ind w:firstLine="470" w:firstLineChars="196"/>
              <w:rPr>
                <w:rFonts w:ascii="宋体" w:hAnsi="宋体"/>
                <w:snapToGrid w:val="0"/>
                <w:kern w:val="0"/>
                <w:sz w:val="24"/>
              </w:rPr>
            </w:pPr>
            <w:r>
              <w:rPr>
                <w:rFonts w:hint="eastAsia" w:ascii="宋体" w:hAnsi="宋体"/>
                <w:snapToGrid w:val="0"/>
                <w:kern w:val="0"/>
                <w:sz w:val="24"/>
              </w:rPr>
              <w:t>变电站</w:t>
            </w:r>
            <w:r>
              <w:rPr>
                <w:rFonts w:hint="eastAsia" w:ascii="宋体" w:hAnsi="宋体"/>
                <w:snapToGrid w:val="0"/>
                <w:kern w:val="0"/>
                <w:sz w:val="24"/>
                <w:lang w:val="en-US" w:eastAsia="zh-CN"/>
              </w:rPr>
              <w:t>无</w:t>
            </w:r>
            <w:r>
              <w:rPr>
                <w:rFonts w:hint="eastAsia" w:ascii="宋体" w:hAnsi="宋体"/>
                <w:snapToGrid w:val="0"/>
                <w:kern w:val="0"/>
                <w:sz w:val="24"/>
              </w:rPr>
              <w:t>人值守，在运行过程中</w:t>
            </w:r>
            <w:r>
              <w:rPr>
                <w:rFonts w:hint="eastAsia" w:ascii="宋体" w:hAnsi="宋体"/>
                <w:snapToGrid w:val="0"/>
                <w:kern w:val="0"/>
                <w:sz w:val="24"/>
                <w:lang w:val="en-US" w:eastAsia="zh-CN"/>
              </w:rPr>
              <w:t>巡检人员</w:t>
            </w:r>
            <w:r>
              <w:rPr>
                <w:rFonts w:hint="eastAsia" w:ascii="宋体" w:hAnsi="宋体"/>
                <w:snapToGrid w:val="0"/>
                <w:kern w:val="0"/>
                <w:sz w:val="24"/>
              </w:rPr>
              <w:t>会产生少量生活污水。输电线路在运营期间不产生废水。</w:t>
            </w:r>
          </w:p>
          <w:p>
            <w:pPr>
              <w:spacing w:line="460" w:lineRule="exact"/>
              <w:ind w:firstLine="464" w:firstLineChars="200"/>
              <w:rPr>
                <w:rFonts w:ascii="宋体"/>
                <w:snapToGrid w:val="0"/>
                <w:spacing w:val="-4"/>
                <w:kern w:val="0"/>
                <w:sz w:val="24"/>
              </w:rPr>
            </w:pPr>
            <w:r>
              <w:rPr>
                <w:rFonts w:hint="eastAsia" w:ascii="宋体" w:hAnsi="宋体"/>
                <w:snapToGrid w:val="0"/>
                <w:spacing w:val="-4"/>
                <w:kern w:val="0"/>
                <w:sz w:val="24"/>
              </w:rPr>
              <w:t>（</w:t>
            </w:r>
            <w:r>
              <w:rPr>
                <w:rFonts w:ascii="宋体" w:hAnsi="宋体"/>
                <w:snapToGrid w:val="0"/>
                <w:spacing w:val="-4"/>
                <w:kern w:val="0"/>
                <w:sz w:val="24"/>
              </w:rPr>
              <w:t>4</w:t>
            </w:r>
            <w:r>
              <w:rPr>
                <w:rFonts w:hint="eastAsia" w:ascii="宋体" w:hAnsi="宋体"/>
                <w:snapToGrid w:val="0"/>
                <w:spacing w:val="-4"/>
                <w:kern w:val="0"/>
                <w:sz w:val="24"/>
              </w:rPr>
              <w:t>）固体废物</w:t>
            </w:r>
          </w:p>
          <w:p>
            <w:pPr>
              <w:spacing w:line="460" w:lineRule="exact"/>
              <w:ind w:firstLine="470" w:firstLineChars="196"/>
              <w:rPr>
                <w:rFonts w:ascii="宋体" w:hAnsi="宋体"/>
                <w:snapToGrid w:val="0"/>
                <w:kern w:val="0"/>
                <w:sz w:val="24"/>
              </w:rPr>
            </w:pPr>
            <w:r>
              <w:rPr>
                <w:rFonts w:hint="eastAsia" w:ascii="宋体" w:hAnsi="宋体"/>
                <w:snapToGrid w:val="0"/>
                <w:kern w:val="0"/>
                <w:sz w:val="24"/>
              </w:rPr>
              <w:t>本工程</w:t>
            </w:r>
            <w:r>
              <w:rPr>
                <w:rFonts w:hint="eastAsia" w:hAnsi="宋体"/>
                <w:snapToGrid w:val="0"/>
                <w:kern w:val="0"/>
                <w:sz w:val="24"/>
              </w:rPr>
              <w:t>变电站</w:t>
            </w:r>
            <w:r>
              <w:rPr>
                <w:rFonts w:hint="eastAsia" w:ascii="宋体" w:cs="宋体"/>
                <w:kern w:val="0"/>
                <w:sz w:val="24"/>
              </w:rPr>
              <w:t>产生的固体废物为</w:t>
            </w:r>
            <w:r>
              <w:rPr>
                <w:rFonts w:hint="eastAsia" w:ascii="宋体" w:cs="宋体"/>
                <w:kern w:val="0"/>
                <w:sz w:val="24"/>
                <w:lang w:val="en-US" w:eastAsia="zh-CN"/>
              </w:rPr>
              <w:t>巡检</w:t>
            </w:r>
            <w:r>
              <w:rPr>
                <w:rFonts w:hint="eastAsia" w:ascii="宋体" w:cs="宋体"/>
                <w:kern w:val="0"/>
                <w:sz w:val="24"/>
              </w:rPr>
              <w:t>人员产生的</w:t>
            </w:r>
            <w:r>
              <w:rPr>
                <w:rFonts w:hint="eastAsia" w:hAnsi="宋体"/>
                <w:snapToGrid w:val="0"/>
                <w:kern w:val="0"/>
                <w:sz w:val="24"/>
                <w:highlight w:val="none"/>
                <w:lang w:val="en-US" w:eastAsia="zh-CN"/>
              </w:rPr>
              <w:t>少量</w:t>
            </w:r>
            <w:r>
              <w:rPr>
                <w:rFonts w:hint="eastAsia" w:ascii="宋体" w:cs="宋体"/>
                <w:kern w:val="0"/>
                <w:sz w:val="24"/>
              </w:rPr>
              <w:t>生活垃圾，</w:t>
            </w:r>
            <w:r>
              <w:rPr>
                <w:rFonts w:hint="eastAsia" w:hAnsi="宋体"/>
                <w:snapToGrid w:val="0"/>
                <w:kern w:val="0"/>
                <w:sz w:val="24"/>
              </w:rPr>
              <w:t>更换的废旧铅酸蓄电池以及事故状态下产生的废变压器油</w:t>
            </w:r>
            <w:r>
              <w:rPr>
                <w:rFonts w:hint="eastAsia" w:ascii="宋体" w:hAnsi="宋体"/>
                <w:snapToGrid w:val="0"/>
                <w:kern w:val="0"/>
                <w:sz w:val="24"/>
              </w:rPr>
              <w:t>。输电线路在运营期间不产生固体废物。</w:t>
            </w:r>
          </w:p>
          <w:p>
            <w:pPr>
              <w:adjustRightInd w:val="0"/>
              <w:spacing w:line="460" w:lineRule="exact"/>
              <w:ind w:left="4" w:leftChars="2" w:firstLine="482" w:firstLineChars="200"/>
              <w:rPr>
                <w:rFonts w:ascii="宋体"/>
                <w:b/>
                <w:snapToGrid w:val="0"/>
                <w:kern w:val="0"/>
                <w:sz w:val="24"/>
              </w:rPr>
            </w:pPr>
            <w:r>
              <w:rPr>
                <w:rFonts w:ascii="宋体" w:hAnsi="宋体"/>
                <w:b/>
                <w:snapToGrid w:val="0"/>
                <w:kern w:val="0"/>
                <w:sz w:val="24"/>
              </w:rPr>
              <w:t>2</w:t>
            </w:r>
            <w:r>
              <w:rPr>
                <w:rFonts w:hint="eastAsia" w:ascii="宋体" w:hAnsi="宋体"/>
                <w:b/>
                <w:snapToGrid w:val="0"/>
                <w:kern w:val="0"/>
                <w:sz w:val="24"/>
              </w:rPr>
              <w:t>、采取的污染防治措施</w:t>
            </w:r>
          </w:p>
          <w:p>
            <w:pPr>
              <w:spacing w:line="460" w:lineRule="exact"/>
              <w:ind w:firstLine="480" w:firstLineChars="200"/>
              <w:rPr>
                <w:rFonts w:ascii="宋体" w:hAnsi="宋体"/>
                <w:sz w:val="24"/>
              </w:rPr>
            </w:pPr>
            <w:r>
              <w:rPr>
                <w:rFonts w:hint="eastAsia" w:ascii="宋体" w:hAnsi="宋体"/>
                <w:sz w:val="24"/>
              </w:rPr>
              <w:t>（1）电磁污染防治措施</w:t>
            </w:r>
          </w:p>
          <w:p>
            <w:pPr>
              <w:spacing w:line="460" w:lineRule="exact"/>
              <w:ind w:firstLine="480" w:firstLineChars="200"/>
              <w:rPr>
                <w:rFonts w:ascii="宋体" w:hAnsi="宋体"/>
                <w:sz w:val="24"/>
              </w:rPr>
            </w:pPr>
            <w:r>
              <w:rPr>
                <w:rFonts w:hint="eastAsia" w:ascii="宋体" w:hAnsi="宋体"/>
                <w:sz w:val="24"/>
              </w:rPr>
              <w:t>在变电站布置上，通过合理布置主变压器位置，可有效利用墙壁隔挡及距离衰减，减小了对站区墙外工频电场、工频磁场的影响。</w:t>
            </w:r>
          </w:p>
          <w:p>
            <w:pPr>
              <w:spacing w:line="460" w:lineRule="exact"/>
              <w:ind w:firstLine="480" w:firstLineChars="200"/>
              <w:rPr>
                <w:rFonts w:ascii="宋体" w:hAnsi="宋体"/>
                <w:sz w:val="24"/>
              </w:rPr>
            </w:pPr>
            <w:r>
              <w:rPr>
                <w:rFonts w:hint="eastAsia" w:ascii="宋体" w:hAnsi="宋体"/>
                <w:sz w:val="24"/>
              </w:rPr>
              <w:t>（2）噪声防治措施</w:t>
            </w:r>
          </w:p>
          <w:p>
            <w:pPr>
              <w:spacing w:line="460" w:lineRule="exact"/>
              <w:ind w:firstLine="480" w:firstLineChars="200"/>
              <w:rPr>
                <w:rFonts w:ascii="宋体" w:hAnsi="宋体"/>
                <w:sz w:val="24"/>
              </w:rPr>
            </w:pPr>
            <w:r>
              <w:rPr>
                <w:rFonts w:hint="eastAsia" w:ascii="宋体" w:hAnsi="宋体"/>
                <w:sz w:val="24"/>
              </w:rPr>
              <w:t>从变电站声源上控制噪声，主变压器、风机等选取环保的低噪声设备进行安装运行。在设备布置上，对高噪声设备通过合理优化平面布置，主变压器之间设置防火墙，利用建筑物、墙体阻隔及距离衰减减小噪声的影响。</w:t>
            </w:r>
            <w:r>
              <w:rPr>
                <w:rFonts w:hint="eastAsia" w:ascii="宋体"/>
                <w:sz w:val="24"/>
                <w:highlight w:val="none"/>
                <w:lang w:val="en-US" w:eastAsia="zh-CN"/>
              </w:rPr>
              <w:t>本工程输电线路为电缆线路，不产生噪声影响</w:t>
            </w:r>
          </w:p>
          <w:p>
            <w:pPr>
              <w:spacing w:line="460" w:lineRule="exact"/>
              <w:ind w:firstLine="464" w:firstLineChars="200"/>
              <w:rPr>
                <w:rFonts w:ascii="宋体"/>
                <w:sz w:val="24"/>
              </w:rPr>
            </w:pPr>
            <w:r>
              <w:rPr>
                <w:rFonts w:hint="eastAsia" w:ascii="宋体" w:hAnsi="宋体"/>
                <w:snapToGrid w:val="0"/>
                <w:spacing w:val="-4"/>
                <w:kern w:val="0"/>
                <w:sz w:val="24"/>
              </w:rPr>
              <w:t>（</w:t>
            </w:r>
            <w:r>
              <w:rPr>
                <w:rFonts w:ascii="宋体" w:hAnsi="宋体"/>
                <w:snapToGrid w:val="0"/>
                <w:spacing w:val="-4"/>
                <w:kern w:val="0"/>
                <w:sz w:val="24"/>
              </w:rPr>
              <w:t>3</w:t>
            </w:r>
            <w:r>
              <w:rPr>
                <w:rFonts w:hint="eastAsia" w:ascii="宋体" w:hAnsi="宋体"/>
                <w:snapToGrid w:val="0"/>
                <w:spacing w:val="-4"/>
                <w:kern w:val="0"/>
                <w:sz w:val="24"/>
              </w:rPr>
              <w:t>）废水</w:t>
            </w:r>
            <w:r>
              <w:rPr>
                <w:rFonts w:hint="eastAsia" w:ascii="宋体" w:hAnsi="宋体"/>
                <w:sz w:val="24"/>
              </w:rPr>
              <w:t>防治措施</w:t>
            </w:r>
          </w:p>
          <w:p>
            <w:pPr>
              <w:spacing w:line="460" w:lineRule="exact"/>
              <w:ind w:firstLine="470" w:firstLineChars="196"/>
              <w:rPr>
                <w:rFonts w:ascii="宋体" w:hAnsi="宋体"/>
                <w:snapToGrid w:val="0"/>
                <w:kern w:val="0"/>
                <w:sz w:val="24"/>
              </w:rPr>
            </w:pPr>
            <w:r>
              <w:rPr>
                <w:rFonts w:hint="eastAsia" w:ascii="宋体" w:hAnsi="宋体"/>
                <w:sz w:val="24"/>
                <w:lang w:val="en-US" w:eastAsia="zh-CN"/>
              </w:rPr>
              <w:t>巡检人员</w:t>
            </w:r>
            <w:r>
              <w:rPr>
                <w:rFonts w:hint="eastAsia" w:ascii="宋体" w:hAnsi="宋体"/>
                <w:sz w:val="24"/>
              </w:rPr>
              <w:t>产生的</w:t>
            </w:r>
            <w:r>
              <w:rPr>
                <w:rFonts w:hint="eastAsia" w:ascii="宋体" w:hAnsi="宋体"/>
                <w:sz w:val="24"/>
                <w:lang w:val="en-US" w:eastAsia="zh-CN"/>
              </w:rPr>
              <w:t>少量</w:t>
            </w:r>
            <w:r>
              <w:rPr>
                <w:rFonts w:hint="eastAsia" w:ascii="宋体" w:hAnsi="宋体"/>
                <w:sz w:val="24"/>
              </w:rPr>
              <w:t>生活污水</w:t>
            </w:r>
            <w:r>
              <w:rPr>
                <w:rFonts w:hint="eastAsia" w:ascii="宋体" w:hAnsi="宋体"/>
                <w:snapToGrid w:val="0"/>
                <w:kern w:val="0"/>
                <w:sz w:val="24"/>
              </w:rPr>
              <w:t>经站内化粪池收集后排入污水管道，进入中法水务污水处理厂集中处置。</w:t>
            </w:r>
          </w:p>
          <w:p>
            <w:pPr>
              <w:spacing w:line="460" w:lineRule="exact"/>
              <w:ind w:firstLine="480" w:firstLineChars="200"/>
              <w:rPr>
                <w:rFonts w:ascii="宋体"/>
                <w:sz w:val="24"/>
              </w:rPr>
            </w:pPr>
            <w:r>
              <w:rPr>
                <w:rFonts w:hint="eastAsia" w:ascii="宋体" w:hAnsi="宋体"/>
                <w:sz w:val="24"/>
              </w:rPr>
              <w:t>（</w:t>
            </w:r>
            <w:r>
              <w:rPr>
                <w:rFonts w:ascii="宋体" w:hAnsi="宋体"/>
                <w:sz w:val="24"/>
              </w:rPr>
              <w:t>4</w:t>
            </w:r>
            <w:r>
              <w:rPr>
                <w:rFonts w:hint="eastAsia" w:ascii="宋体" w:hAnsi="宋体"/>
                <w:sz w:val="24"/>
              </w:rPr>
              <w:t>）固体废物防治措施</w:t>
            </w:r>
          </w:p>
          <w:p>
            <w:pPr>
              <w:spacing w:line="460" w:lineRule="exact"/>
              <w:ind w:firstLine="480" w:firstLineChars="200"/>
              <w:rPr>
                <w:rFonts w:ascii="宋体" w:cs="宋体"/>
                <w:kern w:val="0"/>
                <w:sz w:val="24"/>
              </w:rPr>
            </w:pPr>
            <w:r>
              <w:rPr>
                <w:rFonts w:hint="eastAsia" w:ascii="宋体" w:cs="宋体"/>
                <w:kern w:val="0"/>
                <w:sz w:val="24"/>
              </w:rPr>
              <w:t>本工程产生固体废物为</w:t>
            </w:r>
            <w:r>
              <w:rPr>
                <w:rFonts w:hint="eastAsia" w:ascii="宋体" w:cs="宋体"/>
                <w:kern w:val="0"/>
                <w:sz w:val="24"/>
                <w:lang w:val="en-US" w:eastAsia="zh-CN"/>
              </w:rPr>
              <w:t>巡检</w:t>
            </w:r>
            <w:r>
              <w:rPr>
                <w:rFonts w:hint="eastAsia" w:ascii="宋体" w:cs="宋体"/>
                <w:kern w:val="0"/>
                <w:sz w:val="24"/>
              </w:rPr>
              <w:t>人员产生的</w:t>
            </w:r>
            <w:r>
              <w:rPr>
                <w:rFonts w:hint="eastAsia" w:ascii="宋体" w:cs="宋体"/>
                <w:kern w:val="0"/>
                <w:sz w:val="24"/>
                <w:lang w:val="en-US" w:eastAsia="zh-CN"/>
              </w:rPr>
              <w:t>少量</w:t>
            </w:r>
            <w:r>
              <w:rPr>
                <w:rFonts w:hint="eastAsia" w:ascii="宋体" w:cs="宋体"/>
                <w:kern w:val="0"/>
                <w:sz w:val="24"/>
              </w:rPr>
              <w:t>生活垃圾，</w:t>
            </w:r>
            <w:r>
              <w:rPr>
                <w:rFonts w:hint="eastAsia" w:hAnsi="宋体"/>
                <w:snapToGrid w:val="0"/>
                <w:kern w:val="0"/>
                <w:sz w:val="24"/>
              </w:rPr>
              <w:t>更换的废旧铅酸蓄电池以及事故状态下产生的废变压器油</w:t>
            </w:r>
            <w:r>
              <w:rPr>
                <w:rFonts w:hint="eastAsia" w:ascii="宋体" w:cs="宋体"/>
                <w:kern w:val="0"/>
                <w:sz w:val="24"/>
              </w:rPr>
              <w:t>。</w:t>
            </w:r>
          </w:p>
          <w:p>
            <w:pPr>
              <w:spacing w:line="460" w:lineRule="exact"/>
              <w:ind w:firstLine="480" w:firstLineChars="200"/>
              <w:rPr>
                <w:rFonts w:ascii="宋体" w:cs="宋体"/>
                <w:kern w:val="0"/>
                <w:sz w:val="24"/>
              </w:rPr>
            </w:pPr>
            <w:r>
              <w:rPr>
                <w:rFonts w:hint="eastAsia" w:ascii="宋体" w:cs="宋体"/>
                <w:kern w:val="0"/>
                <w:sz w:val="24"/>
              </w:rPr>
              <w:t>生活垃圾防治措施：变电站内设有垃圾收集箱，生活垃圾集中堆放，由厂区内的环卫部门定期清运。</w:t>
            </w:r>
          </w:p>
          <w:p>
            <w:pPr>
              <w:adjustRightInd w:val="0"/>
              <w:spacing w:line="460" w:lineRule="exact"/>
              <w:ind w:firstLine="480" w:firstLineChars="200"/>
              <w:rPr>
                <w:rFonts w:ascii="宋体" w:cs="宋体"/>
                <w:color w:val="auto"/>
                <w:kern w:val="0"/>
                <w:sz w:val="24"/>
              </w:rPr>
            </w:pPr>
            <w:r>
              <w:rPr>
                <w:rFonts w:hint="eastAsia" w:ascii="宋体" w:cs="宋体"/>
                <w:kern w:val="0"/>
                <w:sz w:val="24"/>
              </w:rPr>
              <w:t>废变压器油</w:t>
            </w:r>
            <w:r>
              <w:rPr>
                <w:rFonts w:hint="eastAsia" w:ascii="宋体" w:hAnsi="宋体"/>
                <w:sz w:val="24"/>
              </w:rPr>
              <w:t>防治措施</w:t>
            </w:r>
            <w:r>
              <w:rPr>
                <w:rFonts w:hint="eastAsia" w:ascii="宋体" w:cs="宋体"/>
                <w:kern w:val="0"/>
                <w:sz w:val="24"/>
              </w:rPr>
              <w:t>：变电站内建有贮油坑，按照《危险废物贮存污染控制标准》（GB18597-2001）要求，贮油坑进行防渗处理，变压器在发生事故时壳体内的油将</w:t>
            </w:r>
            <w:r>
              <w:rPr>
                <w:rFonts w:hint="eastAsia" w:ascii="宋体" w:cs="宋体"/>
                <w:kern w:val="0"/>
                <w:sz w:val="24"/>
                <w:lang w:val="en-US" w:eastAsia="zh-CN"/>
              </w:rPr>
              <w:t>在</w:t>
            </w:r>
            <w:r>
              <w:rPr>
                <w:rFonts w:hint="eastAsia" w:ascii="宋体" w:cs="宋体"/>
                <w:kern w:val="0"/>
                <w:sz w:val="24"/>
              </w:rPr>
              <w:t>贮油坑</w:t>
            </w:r>
            <w:r>
              <w:rPr>
                <w:rFonts w:hint="eastAsia" w:ascii="宋体" w:cs="宋体"/>
                <w:kern w:val="0"/>
                <w:sz w:val="24"/>
                <w:lang w:val="en-US" w:eastAsia="zh-CN"/>
              </w:rPr>
              <w:t>内</w:t>
            </w:r>
            <w:r>
              <w:rPr>
                <w:rFonts w:hint="eastAsia" w:ascii="宋体" w:cs="宋体"/>
                <w:kern w:val="0"/>
                <w:sz w:val="24"/>
              </w:rPr>
              <w:t>临时贮存，最终由有资质的单位回收处理。</w:t>
            </w:r>
            <w:r>
              <w:rPr>
                <w:rFonts w:hint="eastAsia" w:ascii="宋体" w:hAnsi="宋体"/>
                <w:sz w:val="24"/>
              </w:rPr>
              <w:t>经调查，本工程变电站自运行以来尚未产生废变压器油。</w:t>
            </w:r>
            <w:r>
              <w:rPr>
                <w:rFonts w:hint="eastAsia" w:ascii="宋体" w:cs="宋体"/>
                <w:kern w:val="0"/>
                <w:sz w:val="24"/>
              </w:rPr>
              <w:t>建设单</w:t>
            </w:r>
            <w:r>
              <w:rPr>
                <w:rFonts w:hint="eastAsia" w:ascii="宋体" w:cs="宋体"/>
                <w:color w:val="auto"/>
                <w:kern w:val="0"/>
                <w:sz w:val="24"/>
              </w:rPr>
              <w:t>位已与</w:t>
            </w:r>
            <w:r>
              <w:rPr>
                <w:rFonts w:hint="eastAsia" w:ascii="宋体" w:cs="宋体"/>
                <w:color w:val="auto"/>
                <w:kern w:val="0"/>
                <w:sz w:val="24"/>
                <w:lang w:val="en-US" w:eastAsia="zh-CN"/>
              </w:rPr>
              <w:t>山东卓泰油脂科技有限公司</w:t>
            </w:r>
            <w:r>
              <w:rPr>
                <w:rFonts w:hint="eastAsia" w:ascii="宋体" w:cs="宋体"/>
                <w:color w:val="auto"/>
                <w:kern w:val="0"/>
                <w:sz w:val="24"/>
              </w:rPr>
              <w:t>签订</w:t>
            </w:r>
            <w:r>
              <w:rPr>
                <w:rFonts w:hint="eastAsia" w:ascii="宋体" w:cs="宋体"/>
                <w:color w:val="auto"/>
                <w:kern w:val="0"/>
                <w:sz w:val="24"/>
                <w:lang w:val="en-US" w:eastAsia="zh-CN"/>
              </w:rPr>
              <w:t>废变压器油</w:t>
            </w:r>
            <w:r>
              <w:rPr>
                <w:rFonts w:hint="eastAsia" w:ascii="宋体" w:cs="宋体"/>
                <w:color w:val="auto"/>
                <w:kern w:val="0"/>
                <w:sz w:val="24"/>
              </w:rPr>
              <w:t>回收处置协议。</w:t>
            </w:r>
          </w:p>
          <w:p>
            <w:pPr>
              <w:spacing w:line="460" w:lineRule="exact"/>
              <w:ind w:firstLine="480" w:firstLineChars="200"/>
              <w:rPr>
                <w:rFonts w:ascii="宋体" w:hAnsi="宋体"/>
                <w:snapToGrid w:val="0"/>
                <w:kern w:val="0"/>
                <w:sz w:val="24"/>
              </w:rPr>
            </w:pPr>
            <w:r>
              <w:rPr>
                <w:rFonts w:hint="eastAsia" w:ascii="宋体" w:hAnsi="宋体"/>
                <w:color w:val="auto"/>
                <w:sz w:val="24"/>
              </w:rPr>
              <w:t>废旧铅酸蓄电池防治措施：变电站铅酸蓄电池更换频率为6～10年，即6～10年产生1组废旧铅酸蓄电池，废旧铅酸蓄电池产生后须由具有相应资质的单位回收处理，避免对环境造成不利影响。</w:t>
            </w:r>
            <w:r>
              <w:rPr>
                <w:rFonts w:hint="eastAsia" w:ascii="宋体" w:cs="宋体"/>
                <w:color w:val="auto"/>
                <w:kern w:val="0"/>
                <w:sz w:val="24"/>
              </w:rPr>
              <w:t>经调查，</w:t>
            </w:r>
            <w:r>
              <w:rPr>
                <w:rFonts w:hint="eastAsia" w:ascii="宋体" w:hAnsi="宋体"/>
                <w:color w:val="auto"/>
                <w:sz w:val="24"/>
              </w:rPr>
              <w:t>本工程变电站自运行以来尚未产生废旧铅酸蓄电池。</w:t>
            </w:r>
            <w:r>
              <w:rPr>
                <w:rFonts w:hint="eastAsia" w:ascii="宋体" w:cs="宋体"/>
                <w:color w:val="auto"/>
                <w:kern w:val="0"/>
                <w:sz w:val="24"/>
              </w:rPr>
              <w:t>建设单位已与</w:t>
            </w:r>
            <w:r>
              <w:rPr>
                <w:rFonts w:hint="eastAsia" w:ascii="宋体" w:cs="宋体"/>
                <w:color w:val="auto"/>
                <w:kern w:val="0"/>
                <w:sz w:val="24"/>
                <w:lang w:val="en-US" w:eastAsia="zh-CN"/>
              </w:rPr>
              <w:t>青岛北方天源再生资源有限公司</w:t>
            </w:r>
            <w:r>
              <w:rPr>
                <w:rFonts w:hint="eastAsia" w:ascii="宋体" w:cs="宋体"/>
                <w:color w:val="auto"/>
                <w:kern w:val="0"/>
                <w:sz w:val="24"/>
              </w:rPr>
              <w:t>签订</w:t>
            </w:r>
            <w:r>
              <w:rPr>
                <w:rFonts w:hint="eastAsia" w:ascii="宋体" w:hAnsi="宋体"/>
                <w:color w:val="auto"/>
                <w:sz w:val="24"/>
              </w:rPr>
              <w:t>废</w:t>
            </w:r>
            <w:r>
              <w:rPr>
                <w:rFonts w:hint="eastAsia" w:ascii="宋体" w:hAnsi="宋体"/>
                <w:sz w:val="24"/>
              </w:rPr>
              <w:t>旧铅酸蓄电池</w:t>
            </w:r>
            <w:r>
              <w:rPr>
                <w:rFonts w:hint="eastAsia" w:ascii="宋体" w:cs="宋体"/>
                <w:kern w:val="0"/>
                <w:sz w:val="24"/>
              </w:rPr>
              <w:t>回收处置协议。</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717" w:hRule="atLeast"/>
          <w:jc w:val="center"/>
        </w:trPr>
        <w:tc>
          <w:tcPr>
            <w:tcW w:w="9628" w:type="dxa"/>
            <w:tcBorders>
              <w:top w:val="single" w:color="auto" w:sz="4" w:space="0"/>
              <w:bottom w:val="single" w:color="auto" w:sz="4" w:space="0"/>
            </w:tcBorders>
          </w:tcPr>
          <w:p>
            <w:pPr>
              <w:adjustRightInd w:val="0"/>
              <w:spacing w:line="360" w:lineRule="auto"/>
              <w:rPr>
                <w:b/>
                <w:color w:val="000000"/>
                <w:sz w:val="24"/>
              </w:rPr>
            </w:pPr>
            <w:r>
              <w:rPr>
                <w:b/>
                <w:color w:val="000000"/>
                <w:sz w:val="24"/>
              </w:rPr>
              <w:t>环保投资</w:t>
            </w:r>
          </w:p>
          <w:p>
            <w:pPr>
              <w:pStyle w:val="10"/>
              <w:spacing w:line="360" w:lineRule="auto"/>
              <w:ind w:firstLine="480" w:firstLineChars="200"/>
              <w:rPr>
                <w:rFonts w:ascii="Times New Roman" w:hAnsi="Times New Roman"/>
                <w:color w:val="000000"/>
                <w:sz w:val="24"/>
                <w:szCs w:val="24"/>
                <w:highlight w:val="yellow"/>
              </w:rPr>
            </w:pPr>
            <w:r>
              <w:rPr>
                <w:rFonts w:ascii="Times New Roman" w:hAnsi="Times New Roman"/>
                <w:color w:val="000000"/>
                <w:sz w:val="24"/>
                <w:szCs w:val="24"/>
              </w:rPr>
              <w:t>本工程环保投资估算见表</w:t>
            </w:r>
            <w:r>
              <w:rPr>
                <w:rFonts w:hint="eastAsia" w:ascii="Times New Roman" w:hAnsi="Times New Roman"/>
                <w:color w:val="000000"/>
                <w:sz w:val="24"/>
                <w:szCs w:val="24"/>
              </w:rPr>
              <w:t>5-1</w:t>
            </w:r>
            <w:r>
              <w:rPr>
                <w:rFonts w:ascii="Times New Roman" w:hAnsi="Times New Roman"/>
                <w:color w:val="000000"/>
                <w:sz w:val="24"/>
                <w:szCs w:val="24"/>
              </w:rPr>
              <w:t>。</w:t>
            </w:r>
          </w:p>
          <w:p>
            <w:pPr>
              <w:spacing w:line="340" w:lineRule="exact"/>
              <w:jc w:val="center"/>
              <w:rPr>
                <w:b/>
                <w:color w:val="000000"/>
                <w:sz w:val="24"/>
              </w:rPr>
            </w:pPr>
            <w:r>
              <w:rPr>
                <w:b/>
                <w:color w:val="000000"/>
                <w:sz w:val="24"/>
              </w:rPr>
              <w:t>表</w:t>
            </w:r>
            <w:r>
              <w:rPr>
                <w:rFonts w:hint="eastAsia"/>
                <w:b/>
                <w:color w:val="000000"/>
                <w:sz w:val="24"/>
              </w:rPr>
              <w:t>5-1</w:t>
            </w:r>
            <w:r>
              <w:rPr>
                <w:b/>
                <w:color w:val="000000"/>
                <w:sz w:val="24"/>
              </w:rPr>
              <w:t xml:space="preserve"> 本工程环保投资一览表</w:t>
            </w:r>
          </w:p>
          <w:tbl>
            <w:tblPr>
              <w:tblStyle w:val="22"/>
              <w:tblW w:w="8436" w:type="dxa"/>
              <w:tblInd w:w="306"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660"/>
              <w:gridCol w:w="3855"/>
              <w:gridCol w:w="2921"/>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39" w:hRule="atLeast"/>
              </w:trPr>
              <w:tc>
                <w:tcPr>
                  <w:tcW w:w="1660" w:type="dxa"/>
                  <w:vAlign w:val="center"/>
                </w:tcPr>
                <w:p>
                  <w:pPr>
                    <w:spacing w:line="400" w:lineRule="exact"/>
                    <w:jc w:val="center"/>
                    <w:rPr>
                      <w:color w:val="000000"/>
                      <w:szCs w:val="21"/>
                    </w:rPr>
                  </w:pPr>
                  <w:r>
                    <w:rPr>
                      <w:color w:val="000000"/>
                      <w:szCs w:val="21"/>
                    </w:rPr>
                    <w:t>序号</w:t>
                  </w:r>
                </w:p>
              </w:tc>
              <w:tc>
                <w:tcPr>
                  <w:tcW w:w="3855" w:type="dxa"/>
                  <w:vAlign w:val="center"/>
                </w:tcPr>
                <w:p>
                  <w:pPr>
                    <w:spacing w:line="400" w:lineRule="exact"/>
                    <w:jc w:val="center"/>
                    <w:rPr>
                      <w:color w:val="000000"/>
                      <w:szCs w:val="21"/>
                    </w:rPr>
                  </w:pPr>
                  <w:r>
                    <w:rPr>
                      <w:color w:val="000000"/>
                      <w:szCs w:val="21"/>
                    </w:rPr>
                    <w:t>措施</w:t>
                  </w:r>
                </w:p>
              </w:tc>
              <w:tc>
                <w:tcPr>
                  <w:tcW w:w="2921" w:type="dxa"/>
                  <w:vAlign w:val="center"/>
                </w:tcPr>
                <w:p>
                  <w:pPr>
                    <w:spacing w:line="400" w:lineRule="exact"/>
                    <w:jc w:val="center"/>
                    <w:rPr>
                      <w:color w:val="000000"/>
                      <w:szCs w:val="21"/>
                    </w:rPr>
                  </w:pPr>
                  <w:r>
                    <w:rPr>
                      <w:color w:val="000000"/>
                      <w:szCs w:val="21"/>
                    </w:rPr>
                    <w:t>费用（万元）</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39" w:hRule="atLeast"/>
              </w:trPr>
              <w:tc>
                <w:tcPr>
                  <w:tcW w:w="1660" w:type="dxa"/>
                  <w:vAlign w:val="center"/>
                </w:tcPr>
                <w:p>
                  <w:pPr>
                    <w:spacing w:line="400" w:lineRule="exact"/>
                    <w:jc w:val="center"/>
                    <w:rPr>
                      <w:color w:val="000000"/>
                      <w:szCs w:val="21"/>
                    </w:rPr>
                  </w:pPr>
                  <w:r>
                    <w:rPr>
                      <w:rFonts w:hint="eastAsia"/>
                      <w:color w:val="000000"/>
                      <w:szCs w:val="21"/>
                    </w:rPr>
                    <w:t>1</w:t>
                  </w:r>
                </w:p>
              </w:tc>
              <w:tc>
                <w:tcPr>
                  <w:tcW w:w="3855" w:type="dxa"/>
                  <w:vAlign w:val="center"/>
                </w:tcPr>
                <w:p>
                  <w:pPr>
                    <w:spacing w:line="400" w:lineRule="exact"/>
                    <w:jc w:val="center"/>
                    <w:rPr>
                      <w:szCs w:val="21"/>
                    </w:rPr>
                  </w:pPr>
                  <w:r>
                    <w:rPr>
                      <w:rFonts w:hint="eastAsia"/>
                      <w:color w:val="000000"/>
                      <w:szCs w:val="21"/>
                    </w:rPr>
                    <w:t>贮油坑</w:t>
                  </w:r>
                </w:p>
              </w:tc>
              <w:tc>
                <w:tcPr>
                  <w:tcW w:w="2921" w:type="dxa"/>
                  <w:vAlign w:val="center"/>
                </w:tcPr>
                <w:p>
                  <w:pPr>
                    <w:spacing w:line="400" w:lineRule="exact"/>
                    <w:jc w:val="center"/>
                    <w:rPr>
                      <w:szCs w:val="21"/>
                    </w:rPr>
                  </w:pPr>
                  <w:r>
                    <w:rPr>
                      <w:rFonts w:hint="eastAsia"/>
                      <w:szCs w:val="21"/>
                    </w:rPr>
                    <w:t>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39" w:hRule="atLeast"/>
              </w:trPr>
              <w:tc>
                <w:tcPr>
                  <w:tcW w:w="1660" w:type="dxa"/>
                  <w:vAlign w:val="center"/>
                </w:tcPr>
                <w:p>
                  <w:pPr>
                    <w:spacing w:line="400" w:lineRule="exact"/>
                    <w:jc w:val="center"/>
                    <w:rPr>
                      <w:color w:val="000000"/>
                      <w:szCs w:val="21"/>
                    </w:rPr>
                  </w:pPr>
                  <w:r>
                    <w:rPr>
                      <w:rFonts w:hint="eastAsia"/>
                      <w:color w:val="000000"/>
                      <w:szCs w:val="21"/>
                    </w:rPr>
                    <w:t>2</w:t>
                  </w:r>
                </w:p>
              </w:tc>
              <w:tc>
                <w:tcPr>
                  <w:tcW w:w="3855" w:type="dxa"/>
                  <w:vAlign w:val="center"/>
                </w:tcPr>
                <w:p>
                  <w:pPr>
                    <w:spacing w:line="360" w:lineRule="exact"/>
                    <w:jc w:val="center"/>
                    <w:rPr>
                      <w:szCs w:val="21"/>
                    </w:rPr>
                  </w:pPr>
                  <w:r>
                    <w:rPr>
                      <w:rFonts w:hint="eastAsia"/>
                      <w:szCs w:val="21"/>
                    </w:rPr>
                    <w:t>其他</w:t>
                  </w:r>
                </w:p>
              </w:tc>
              <w:tc>
                <w:tcPr>
                  <w:tcW w:w="2921" w:type="dxa"/>
                  <w:vAlign w:val="center"/>
                </w:tcPr>
                <w:p>
                  <w:pPr>
                    <w:spacing w:line="360" w:lineRule="exact"/>
                    <w:jc w:val="center"/>
                    <w:rPr>
                      <w:szCs w:val="21"/>
                    </w:rPr>
                  </w:pPr>
                  <w:r>
                    <w:rPr>
                      <w:rFonts w:hint="eastAsia"/>
                      <w:szCs w:val="21"/>
                      <w:lang w:val="en-US" w:eastAsia="zh-CN"/>
                    </w:rPr>
                    <w:t>2</w:t>
                  </w:r>
                  <w:r>
                    <w:rPr>
                      <w:rFonts w:hint="eastAsia"/>
                      <w:szCs w:val="21"/>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90" w:hRule="atLeast"/>
              </w:trPr>
              <w:tc>
                <w:tcPr>
                  <w:tcW w:w="5515" w:type="dxa"/>
                  <w:gridSpan w:val="2"/>
                  <w:vAlign w:val="center"/>
                </w:tcPr>
                <w:p>
                  <w:pPr>
                    <w:spacing w:line="400" w:lineRule="exact"/>
                    <w:jc w:val="center"/>
                    <w:rPr>
                      <w:szCs w:val="21"/>
                    </w:rPr>
                  </w:pPr>
                  <w:r>
                    <w:rPr>
                      <w:szCs w:val="21"/>
                    </w:rPr>
                    <w:t>合计</w:t>
                  </w:r>
                </w:p>
              </w:tc>
              <w:tc>
                <w:tcPr>
                  <w:tcW w:w="2921" w:type="dxa"/>
                  <w:vAlign w:val="center"/>
                </w:tcPr>
                <w:p>
                  <w:pPr>
                    <w:spacing w:line="400" w:lineRule="exact"/>
                    <w:jc w:val="center"/>
                    <w:rPr>
                      <w:rFonts w:hint="eastAsia" w:eastAsia="宋体"/>
                      <w:szCs w:val="21"/>
                      <w:lang w:eastAsia="zh-CN"/>
                    </w:rPr>
                  </w:pPr>
                  <w:r>
                    <w:rPr>
                      <w:rFonts w:hint="eastAsia"/>
                      <w:szCs w:val="21"/>
                      <w:lang w:val="en-US" w:eastAsia="zh-CN"/>
                    </w:rPr>
                    <w:t>5</w:t>
                  </w:r>
                </w:p>
              </w:tc>
            </w:tr>
          </w:tbl>
          <w:p>
            <w:pPr>
              <w:spacing w:line="360" w:lineRule="auto"/>
              <w:ind w:firstLine="480" w:firstLineChars="200"/>
              <w:rPr>
                <w:color w:val="000000"/>
                <w:sz w:val="24"/>
              </w:rPr>
            </w:pPr>
            <w:r>
              <w:rPr>
                <w:color w:val="000000"/>
                <w:sz w:val="24"/>
              </w:rPr>
              <w:t>本工程投资</w:t>
            </w:r>
            <w:r>
              <w:rPr>
                <w:rFonts w:hint="eastAsia"/>
                <w:color w:val="000000"/>
                <w:sz w:val="24"/>
                <w:lang w:val="en-US" w:eastAsia="zh-CN"/>
              </w:rPr>
              <w:t>3000</w:t>
            </w:r>
            <w:r>
              <w:rPr>
                <w:color w:val="000000"/>
                <w:sz w:val="24"/>
              </w:rPr>
              <w:t>万元，其中环保投资</w:t>
            </w:r>
            <w:r>
              <w:rPr>
                <w:rFonts w:hint="eastAsia"/>
                <w:color w:val="000000"/>
                <w:sz w:val="24"/>
                <w:lang w:val="en-US" w:eastAsia="zh-CN"/>
              </w:rPr>
              <w:t>5</w:t>
            </w:r>
            <w:r>
              <w:rPr>
                <w:color w:val="000000"/>
                <w:sz w:val="24"/>
              </w:rPr>
              <w:t>万元，</w:t>
            </w:r>
            <w:r>
              <w:rPr>
                <w:rFonts w:hint="eastAsia"/>
                <w:color w:val="000000"/>
                <w:sz w:val="24"/>
              </w:rPr>
              <w:t>约</w:t>
            </w:r>
            <w:r>
              <w:rPr>
                <w:color w:val="000000"/>
                <w:sz w:val="24"/>
              </w:rPr>
              <w:t>占总投资的</w:t>
            </w:r>
            <w:r>
              <w:rPr>
                <w:rFonts w:hint="eastAsia"/>
                <w:color w:val="000000"/>
                <w:sz w:val="24"/>
                <w:lang w:eastAsia="zh-CN"/>
              </w:rPr>
              <w:t>0.17%</w:t>
            </w:r>
            <w:r>
              <w:rPr>
                <w:color w:val="000000"/>
                <w:sz w:val="24"/>
              </w:rPr>
              <w:t>。</w:t>
            </w:r>
          </w:p>
          <w:p>
            <w:pPr>
              <w:spacing w:line="360" w:lineRule="auto"/>
              <w:ind w:firstLine="480" w:firstLineChars="200"/>
              <w:rPr>
                <w:color w:val="000000"/>
                <w:sz w:val="24"/>
              </w:rPr>
            </w:pPr>
          </w:p>
          <w:p>
            <w:pPr>
              <w:spacing w:line="360" w:lineRule="auto"/>
              <w:ind w:firstLine="480" w:firstLineChars="200"/>
              <w:rPr>
                <w:color w:val="000000"/>
                <w:sz w:val="24"/>
              </w:rPr>
            </w:pPr>
          </w:p>
          <w:p>
            <w:pPr>
              <w:pStyle w:val="2"/>
              <w:rPr>
                <w:color w:val="000000"/>
                <w:sz w:val="24"/>
              </w:rPr>
            </w:pPr>
          </w:p>
          <w:p>
            <w:pPr>
              <w:pStyle w:val="2"/>
              <w:rPr>
                <w:color w:val="000000"/>
                <w:sz w:val="24"/>
              </w:rPr>
            </w:pPr>
          </w:p>
          <w:p>
            <w:pPr>
              <w:pStyle w:val="2"/>
              <w:rPr>
                <w:color w:val="000000"/>
                <w:sz w:val="24"/>
              </w:rPr>
            </w:pPr>
          </w:p>
          <w:p>
            <w:pPr>
              <w:pStyle w:val="2"/>
              <w:rPr>
                <w:color w:val="000000"/>
                <w:sz w:val="24"/>
              </w:rPr>
            </w:pPr>
          </w:p>
          <w:p>
            <w:pPr>
              <w:spacing w:line="360" w:lineRule="auto"/>
              <w:rPr>
                <w:rFonts w:ascii="黑体" w:eastAsia="黑体"/>
                <w:sz w:val="28"/>
                <w:szCs w:val="28"/>
              </w:rPr>
            </w:pPr>
          </w:p>
        </w:tc>
      </w:tr>
    </w:tbl>
    <w:p>
      <w:pPr>
        <w:spacing w:before="936" w:beforeLines="300"/>
        <w:rPr>
          <w:rFonts w:eastAsia="黑体"/>
          <w:bCs/>
          <w:sz w:val="28"/>
          <w:szCs w:val="28"/>
        </w:rPr>
      </w:pPr>
      <w:r>
        <w:rPr>
          <w:rFonts w:ascii="黑体" w:eastAsia="黑体"/>
          <w:bCs/>
          <w:sz w:val="28"/>
          <w:szCs w:val="28"/>
        </w:rPr>
        <w:t>6</w:t>
      </w:r>
      <w:r>
        <w:rPr>
          <w:rFonts w:hint="eastAsia" w:ascii="黑体" w:eastAsia="黑体"/>
          <w:bCs/>
          <w:sz w:val="28"/>
          <w:szCs w:val="28"/>
        </w:rPr>
        <w:t>项目主要污</w:t>
      </w:r>
      <w:r>
        <w:rPr>
          <w:rFonts w:hint="eastAsia" w:eastAsia="黑体"/>
          <w:bCs/>
          <w:sz w:val="28"/>
          <w:szCs w:val="28"/>
        </w:rPr>
        <w:t>染物产生及预计排放情况</w:t>
      </w:r>
    </w:p>
    <w:tbl>
      <w:tblPr>
        <w:tblStyle w:val="22"/>
        <w:tblW w:w="950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2"/>
        <w:gridCol w:w="1934"/>
        <w:gridCol w:w="1294"/>
        <w:gridCol w:w="1965"/>
        <w:gridCol w:w="27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08" w:hRule="atLeast"/>
          <w:jc w:val="center"/>
        </w:trPr>
        <w:tc>
          <w:tcPr>
            <w:tcW w:w="1512" w:type="dxa"/>
            <w:tcBorders>
              <w:tl2br w:val="single" w:color="auto" w:sz="4" w:space="0"/>
            </w:tcBorders>
            <w:vAlign w:val="center"/>
          </w:tcPr>
          <w:p>
            <w:pPr>
              <w:spacing w:line="360" w:lineRule="auto"/>
              <w:jc w:val="center"/>
              <w:rPr>
                <w:rFonts w:ascii="宋体"/>
                <w:szCs w:val="21"/>
              </w:rPr>
            </w:pPr>
            <w:bookmarkStart w:id="5" w:name="_Hlk529097555"/>
            <w:r>
              <w:rPr>
                <w:rFonts w:ascii="宋体" w:hAnsi="宋体"/>
                <w:szCs w:val="21"/>
              </w:rPr>
              <w:t xml:space="preserve">     </w:t>
            </w:r>
            <w:r>
              <w:rPr>
                <w:rFonts w:hint="eastAsia" w:ascii="宋体" w:hAnsi="宋体"/>
                <w:szCs w:val="21"/>
              </w:rPr>
              <w:t>内容</w:t>
            </w:r>
          </w:p>
          <w:p>
            <w:pPr>
              <w:spacing w:line="360" w:lineRule="auto"/>
              <w:rPr>
                <w:rFonts w:ascii="宋体"/>
                <w:szCs w:val="21"/>
              </w:rPr>
            </w:pPr>
            <w:r>
              <w:rPr>
                <w:rFonts w:hint="eastAsia" w:ascii="宋体" w:hAnsi="宋体"/>
                <w:szCs w:val="21"/>
              </w:rPr>
              <w:t>类型</w:t>
            </w:r>
          </w:p>
        </w:tc>
        <w:tc>
          <w:tcPr>
            <w:tcW w:w="1934" w:type="dxa"/>
            <w:vAlign w:val="center"/>
          </w:tcPr>
          <w:p>
            <w:pPr>
              <w:spacing w:line="360" w:lineRule="auto"/>
              <w:jc w:val="center"/>
              <w:rPr>
                <w:rFonts w:ascii="宋体"/>
                <w:szCs w:val="21"/>
              </w:rPr>
            </w:pPr>
            <w:r>
              <w:rPr>
                <w:rFonts w:hint="eastAsia" w:ascii="宋体" w:hAnsi="宋体"/>
                <w:szCs w:val="21"/>
              </w:rPr>
              <w:t>排放源</w:t>
            </w:r>
          </w:p>
          <w:p>
            <w:pPr>
              <w:spacing w:line="360" w:lineRule="auto"/>
              <w:jc w:val="center"/>
              <w:rPr>
                <w:rFonts w:ascii="宋体"/>
                <w:szCs w:val="21"/>
              </w:rPr>
            </w:pPr>
            <w:r>
              <w:rPr>
                <w:rFonts w:ascii="宋体" w:hAnsi="宋体"/>
                <w:szCs w:val="21"/>
              </w:rPr>
              <w:t>(</w:t>
            </w:r>
            <w:r>
              <w:rPr>
                <w:rFonts w:hint="eastAsia" w:ascii="宋体" w:hAnsi="宋体"/>
                <w:szCs w:val="21"/>
              </w:rPr>
              <w:t>编号</w:t>
            </w:r>
            <w:r>
              <w:rPr>
                <w:rFonts w:ascii="宋体" w:hAnsi="宋体"/>
                <w:szCs w:val="21"/>
              </w:rPr>
              <w:t>)</w:t>
            </w:r>
          </w:p>
        </w:tc>
        <w:tc>
          <w:tcPr>
            <w:tcW w:w="1294" w:type="dxa"/>
            <w:vAlign w:val="center"/>
          </w:tcPr>
          <w:p>
            <w:pPr>
              <w:spacing w:line="360" w:lineRule="auto"/>
              <w:jc w:val="center"/>
              <w:rPr>
                <w:rFonts w:ascii="宋体"/>
                <w:szCs w:val="21"/>
              </w:rPr>
            </w:pPr>
            <w:r>
              <w:rPr>
                <w:rFonts w:hint="eastAsia" w:ascii="宋体" w:hAnsi="宋体"/>
                <w:szCs w:val="21"/>
              </w:rPr>
              <w:t>污染物名称</w:t>
            </w:r>
          </w:p>
        </w:tc>
        <w:tc>
          <w:tcPr>
            <w:tcW w:w="1965" w:type="dxa"/>
            <w:vAlign w:val="center"/>
          </w:tcPr>
          <w:p>
            <w:pPr>
              <w:spacing w:line="360" w:lineRule="auto"/>
              <w:jc w:val="center"/>
              <w:rPr>
                <w:rFonts w:ascii="宋体"/>
                <w:szCs w:val="21"/>
              </w:rPr>
            </w:pPr>
            <w:r>
              <w:rPr>
                <w:rFonts w:hint="eastAsia" w:ascii="宋体" w:hAnsi="宋体"/>
                <w:szCs w:val="21"/>
              </w:rPr>
              <w:t>处理前产生浓度</w:t>
            </w:r>
          </w:p>
          <w:p>
            <w:pPr>
              <w:spacing w:line="360" w:lineRule="auto"/>
              <w:jc w:val="center"/>
              <w:rPr>
                <w:rFonts w:ascii="宋体"/>
                <w:szCs w:val="21"/>
              </w:rPr>
            </w:pPr>
            <w:r>
              <w:rPr>
                <w:rFonts w:hint="eastAsia" w:ascii="宋体" w:hAnsi="宋体"/>
                <w:szCs w:val="21"/>
              </w:rPr>
              <w:t>及产生量</w:t>
            </w:r>
            <w:r>
              <w:rPr>
                <w:rFonts w:ascii="宋体" w:hAnsi="宋体"/>
                <w:szCs w:val="21"/>
              </w:rPr>
              <w:t>(</w:t>
            </w:r>
            <w:r>
              <w:rPr>
                <w:rFonts w:hint="eastAsia" w:ascii="宋体" w:hAnsi="宋体"/>
                <w:szCs w:val="21"/>
              </w:rPr>
              <w:t>单位</w:t>
            </w:r>
            <w:r>
              <w:rPr>
                <w:rFonts w:ascii="宋体" w:hAnsi="宋体"/>
                <w:szCs w:val="21"/>
              </w:rPr>
              <w:t>)</w:t>
            </w:r>
          </w:p>
        </w:tc>
        <w:tc>
          <w:tcPr>
            <w:tcW w:w="2795" w:type="dxa"/>
            <w:vAlign w:val="center"/>
          </w:tcPr>
          <w:p>
            <w:pPr>
              <w:spacing w:line="360" w:lineRule="auto"/>
              <w:jc w:val="center"/>
              <w:rPr>
                <w:rFonts w:ascii="宋体"/>
                <w:szCs w:val="21"/>
              </w:rPr>
            </w:pPr>
            <w:r>
              <w:rPr>
                <w:rFonts w:hint="eastAsia" w:ascii="宋体" w:hAnsi="宋体"/>
                <w:szCs w:val="21"/>
              </w:rPr>
              <w:t>排放浓度及排放量</w:t>
            </w:r>
          </w:p>
          <w:p>
            <w:pPr>
              <w:spacing w:line="360" w:lineRule="auto"/>
              <w:jc w:val="center"/>
              <w:rPr>
                <w:rFonts w:ascii="宋体"/>
                <w:szCs w:val="21"/>
              </w:rPr>
            </w:pPr>
            <w:r>
              <w:rPr>
                <w:rFonts w:ascii="宋体" w:hAnsi="宋体"/>
                <w:szCs w:val="21"/>
              </w:rPr>
              <w:t>(</w:t>
            </w:r>
            <w:r>
              <w:rPr>
                <w:rFonts w:hint="eastAsia" w:ascii="宋体" w:hAnsi="宋体"/>
                <w:szCs w:val="21"/>
              </w:rPr>
              <w:t>单位</w:t>
            </w:r>
            <w:r>
              <w:rPr>
                <w:rFonts w:ascii="宋体" w:hAns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1" w:hRule="atLeast"/>
          <w:jc w:val="center"/>
        </w:trPr>
        <w:tc>
          <w:tcPr>
            <w:tcW w:w="1512" w:type="dxa"/>
            <w:vAlign w:val="center"/>
          </w:tcPr>
          <w:p>
            <w:pPr>
              <w:spacing w:line="360" w:lineRule="auto"/>
              <w:jc w:val="center"/>
              <w:rPr>
                <w:rFonts w:ascii="宋体"/>
                <w:szCs w:val="21"/>
              </w:rPr>
            </w:pPr>
            <w:r>
              <w:rPr>
                <w:rFonts w:hint="eastAsia" w:ascii="宋体" w:hAnsi="宋体"/>
                <w:szCs w:val="21"/>
              </w:rPr>
              <w:t>大气污染物</w:t>
            </w:r>
          </w:p>
        </w:tc>
        <w:tc>
          <w:tcPr>
            <w:tcW w:w="1934" w:type="dxa"/>
            <w:vAlign w:val="center"/>
          </w:tcPr>
          <w:p>
            <w:pPr>
              <w:spacing w:line="360" w:lineRule="auto"/>
              <w:jc w:val="center"/>
              <w:rPr>
                <w:rFonts w:ascii="宋体"/>
                <w:szCs w:val="21"/>
              </w:rPr>
            </w:pPr>
            <w:r>
              <w:rPr>
                <w:rFonts w:ascii="宋体"/>
                <w:szCs w:val="21"/>
              </w:rPr>
              <w:t>--</w:t>
            </w:r>
          </w:p>
        </w:tc>
        <w:tc>
          <w:tcPr>
            <w:tcW w:w="1294" w:type="dxa"/>
            <w:vAlign w:val="center"/>
          </w:tcPr>
          <w:p>
            <w:pPr>
              <w:spacing w:line="360" w:lineRule="auto"/>
              <w:jc w:val="center"/>
              <w:rPr>
                <w:rFonts w:ascii="宋体"/>
                <w:szCs w:val="21"/>
              </w:rPr>
            </w:pPr>
            <w:r>
              <w:rPr>
                <w:rFonts w:ascii="宋体"/>
                <w:szCs w:val="21"/>
              </w:rPr>
              <w:t>--</w:t>
            </w:r>
          </w:p>
        </w:tc>
        <w:tc>
          <w:tcPr>
            <w:tcW w:w="1965" w:type="dxa"/>
            <w:vAlign w:val="center"/>
          </w:tcPr>
          <w:p>
            <w:pPr>
              <w:spacing w:line="360" w:lineRule="auto"/>
              <w:jc w:val="center"/>
              <w:rPr>
                <w:rFonts w:ascii="宋体"/>
                <w:szCs w:val="21"/>
              </w:rPr>
            </w:pPr>
            <w:r>
              <w:rPr>
                <w:rFonts w:ascii="宋体"/>
                <w:szCs w:val="21"/>
              </w:rPr>
              <w:t>--</w:t>
            </w:r>
          </w:p>
        </w:tc>
        <w:tc>
          <w:tcPr>
            <w:tcW w:w="2795" w:type="dxa"/>
            <w:vAlign w:val="center"/>
          </w:tcPr>
          <w:p>
            <w:pPr>
              <w:spacing w:line="360" w:lineRule="auto"/>
              <w:jc w:val="center"/>
              <w:rPr>
                <w:rFonts w:ascii="宋体"/>
                <w:szCs w:val="21"/>
              </w:rPr>
            </w:pPr>
            <w:r>
              <w:rPr>
                <w:rFonts w:asci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1512" w:type="dxa"/>
            <w:vAlign w:val="center"/>
          </w:tcPr>
          <w:p>
            <w:pPr>
              <w:spacing w:line="360" w:lineRule="auto"/>
              <w:jc w:val="center"/>
              <w:rPr>
                <w:rFonts w:ascii="宋体"/>
                <w:szCs w:val="21"/>
              </w:rPr>
            </w:pPr>
            <w:r>
              <w:rPr>
                <w:rFonts w:hint="eastAsia" w:ascii="宋体" w:hAnsi="宋体"/>
                <w:szCs w:val="21"/>
              </w:rPr>
              <w:t>水污染物</w:t>
            </w:r>
          </w:p>
        </w:tc>
        <w:tc>
          <w:tcPr>
            <w:tcW w:w="1934" w:type="dxa"/>
            <w:vAlign w:val="center"/>
          </w:tcPr>
          <w:p>
            <w:pPr>
              <w:spacing w:line="360" w:lineRule="auto"/>
              <w:jc w:val="center"/>
              <w:rPr>
                <w:rFonts w:ascii="宋体" w:hAnsi="宋体"/>
                <w:szCs w:val="21"/>
              </w:rPr>
            </w:pPr>
            <w:r>
              <w:rPr>
                <w:rFonts w:hint="eastAsia" w:ascii="宋体" w:hAnsi="宋体"/>
                <w:szCs w:val="21"/>
                <w:lang w:val="en-US" w:eastAsia="zh-CN"/>
              </w:rPr>
              <w:t>巡检</w:t>
            </w:r>
            <w:r>
              <w:rPr>
                <w:rFonts w:hint="eastAsia" w:ascii="宋体" w:hAnsi="宋体"/>
                <w:szCs w:val="21"/>
              </w:rPr>
              <w:t>人员</w:t>
            </w:r>
          </w:p>
        </w:tc>
        <w:tc>
          <w:tcPr>
            <w:tcW w:w="1294" w:type="dxa"/>
            <w:vAlign w:val="center"/>
          </w:tcPr>
          <w:p>
            <w:pPr>
              <w:spacing w:line="360" w:lineRule="auto"/>
              <w:jc w:val="center"/>
              <w:rPr>
                <w:rFonts w:ascii="宋体"/>
                <w:szCs w:val="21"/>
              </w:rPr>
            </w:pPr>
            <w:r>
              <w:rPr>
                <w:rFonts w:hint="eastAsia" w:ascii="宋体" w:hAnsi="宋体"/>
                <w:szCs w:val="21"/>
              </w:rPr>
              <w:t>生活污水</w:t>
            </w:r>
          </w:p>
        </w:tc>
        <w:tc>
          <w:tcPr>
            <w:tcW w:w="1965" w:type="dxa"/>
            <w:vAlign w:val="center"/>
          </w:tcPr>
          <w:p>
            <w:pPr>
              <w:spacing w:line="360" w:lineRule="auto"/>
              <w:jc w:val="center"/>
              <w:rPr>
                <w:rFonts w:ascii="宋体"/>
                <w:szCs w:val="21"/>
              </w:rPr>
            </w:pPr>
            <w:r>
              <w:rPr>
                <w:rFonts w:hint="eastAsia" w:ascii="宋体"/>
                <w:szCs w:val="21"/>
              </w:rPr>
              <w:t>/</w:t>
            </w:r>
          </w:p>
        </w:tc>
        <w:tc>
          <w:tcPr>
            <w:tcW w:w="2795" w:type="dxa"/>
            <w:vAlign w:val="center"/>
          </w:tcPr>
          <w:p>
            <w:pPr>
              <w:snapToGrid w:val="0"/>
              <w:spacing w:line="360" w:lineRule="auto"/>
              <w:jc w:val="center"/>
              <w:rPr>
                <w:rFonts w:ascii="宋体"/>
                <w:szCs w:val="21"/>
              </w:rPr>
            </w:pPr>
            <w:r>
              <w:rPr>
                <w:rFonts w:ascii="宋体"/>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1512" w:type="dxa"/>
            <w:vMerge w:val="restart"/>
            <w:vAlign w:val="center"/>
          </w:tcPr>
          <w:p>
            <w:pPr>
              <w:spacing w:line="360" w:lineRule="auto"/>
              <w:jc w:val="center"/>
              <w:rPr>
                <w:rFonts w:ascii="宋体"/>
                <w:szCs w:val="21"/>
              </w:rPr>
            </w:pPr>
            <w:r>
              <w:rPr>
                <w:rFonts w:hint="eastAsia" w:ascii="宋体" w:hAnsi="宋体"/>
                <w:szCs w:val="21"/>
              </w:rPr>
              <w:t>固体废物</w:t>
            </w:r>
          </w:p>
        </w:tc>
        <w:tc>
          <w:tcPr>
            <w:tcW w:w="1934" w:type="dxa"/>
            <w:vAlign w:val="center"/>
          </w:tcPr>
          <w:p>
            <w:pPr>
              <w:spacing w:line="360" w:lineRule="auto"/>
              <w:jc w:val="center"/>
              <w:rPr>
                <w:rFonts w:ascii="宋体" w:hAnsi="宋体"/>
                <w:szCs w:val="21"/>
              </w:rPr>
            </w:pPr>
            <w:r>
              <w:rPr>
                <w:rFonts w:hint="eastAsia" w:ascii="宋体" w:hAnsi="宋体"/>
                <w:szCs w:val="21"/>
                <w:lang w:val="en-US" w:eastAsia="zh-CN"/>
              </w:rPr>
              <w:t>巡检</w:t>
            </w:r>
            <w:r>
              <w:rPr>
                <w:rFonts w:hint="eastAsia" w:ascii="宋体" w:hAnsi="宋体"/>
                <w:szCs w:val="21"/>
              </w:rPr>
              <w:t>人员</w:t>
            </w:r>
          </w:p>
        </w:tc>
        <w:tc>
          <w:tcPr>
            <w:tcW w:w="1294" w:type="dxa"/>
            <w:vAlign w:val="center"/>
          </w:tcPr>
          <w:p>
            <w:pPr>
              <w:spacing w:line="360" w:lineRule="auto"/>
              <w:jc w:val="center"/>
              <w:rPr>
                <w:rFonts w:ascii="宋体"/>
                <w:szCs w:val="21"/>
              </w:rPr>
            </w:pPr>
            <w:r>
              <w:rPr>
                <w:rFonts w:hint="eastAsia" w:ascii="宋体" w:hAnsi="宋体"/>
                <w:szCs w:val="21"/>
              </w:rPr>
              <w:t>生活垃圾</w:t>
            </w:r>
          </w:p>
        </w:tc>
        <w:tc>
          <w:tcPr>
            <w:tcW w:w="1965" w:type="dxa"/>
            <w:vAlign w:val="center"/>
          </w:tcPr>
          <w:p>
            <w:pPr>
              <w:spacing w:line="360" w:lineRule="auto"/>
              <w:jc w:val="center"/>
              <w:rPr>
                <w:rFonts w:ascii="宋体"/>
                <w:szCs w:val="21"/>
              </w:rPr>
            </w:pPr>
            <w:r>
              <w:rPr>
                <w:rFonts w:hint="eastAsia" w:ascii="宋体" w:hAnsi="宋体"/>
                <w:szCs w:val="21"/>
              </w:rPr>
              <w:t>/</w:t>
            </w:r>
          </w:p>
        </w:tc>
        <w:tc>
          <w:tcPr>
            <w:tcW w:w="2795" w:type="dxa"/>
            <w:vAlign w:val="center"/>
          </w:tcPr>
          <w:p>
            <w:pPr>
              <w:snapToGrid w:val="0"/>
              <w:spacing w:line="360" w:lineRule="auto"/>
              <w:jc w:val="center"/>
              <w:rPr>
                <w:rFonts w:ascii="宋体"/>
                <w:szCs w:val="21"/>
              </w:rPr>
            </w:pPr>
            <w:r>
              <w:rPr>
                <w:rFonts w:ascii="宋体"/>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67" w:hRule="atLeast"/>
          <w:jc w:val="center"/>
        </w:trPr>
        <w:tc>
          <w:tcPr>
            <w:tcW w:w="1512" w:type="dxa"/>
            <w:vMerge w:val="continue"/>
            <w:vAlign w:val="center"/>
          </w:tcPr>
          <w:p>
            <w:pPr>
              <w:spacing w:line="360" w:lineRule="auto"/>
              <w:jc w:val="center"/>
              <w:rPr>
                <w:rFonts w:ascii="宋体"/>
                <w:szCs w:val="21"/>
              </w:rPr>
            </w:pPr>
          </w:p>
        </w:tc>
        <w:tc>
          <w:tcPr>
            <w:tcW w:w="1934" w:type="dxa"/>
            <w:vAlign w:val="center"/>
          </w:tcPr>
          <w:p>
            <w:pPr>
              <w:spacing w:line="360" w:lineRule="auto"/>
              <w:jc w:val="center"/>
              <w:rPr>
                <w:rFonts w:ascii="宋体"/>
                <w:szCs w:val="21"/>
              </w:rPr>
            </w:pPr>
            <w:r>
              <w:rPr>
                <w:rFonts w:hint="eastAsia" w:ascii="宋体" w:hAnsi="宋体"/>
                <w:szCs w:val="21"/>
              </w:rPr>
              <w:t>变压器</w:t>
            </w:r>
          </w:p>
        </w:tc>
        <w:tc>
          <w:tcPr>
            <w:tcW w:w="1294" w:type="dxa"/>
            <w:vAlign w:val="center"/>
          </w:tcPr>
          <w:p>
            <w:pPr>
              <w:spacing w:line="360" w:lineRule="auto"/>
              <w:jc w:val="center"/>
              <w:rPr>
                <w:rFonts w:ascii="宋体"/>
                <w:szCs w:val="21"/>
              </w:rPr>
            </w:pPr>
            <w:r>
              <w:rPr>
                <w:rFonts w:hint="eastAsia" w:ascii="宋体" w:hAnsi="宋体"/>
                <w:szCs w:val="21"/>
              </w:rPr>
              <w:t>废油</w:t>
            </w:r>
          </w:p>
        </w:tc>
        <w:tc>
          <w:tcPr>
            <w:tcW w:w="1965" w:type="dxa"/>
            <w:vAlign w:val="center"/>
          </w:tcPr>
          <w:p>
            <w:pPr>
              <w:jc w:val="center"/>
              <w:rPr>
                <w:rFonts w:ascii="宋体" w:hAnsi="宋体"/>
                <w:szCs w:val="21"/>
              </w:rPr>
            </w:pPr>
            <w:r>
              <w:rPr>
                <w:rFonts w:hint="eastAsia"/>
                <w:szCs w:val="21"/>
              </w:rPr>
              <w:t>仅在事故状态下产生</w:t>
            </w:r>
          </w:p>
        </w:tc>
        <w:tc>
          <w:tcPr>
            <w:tcW w:w="2795" w:type="dxa"/>
            <w:vAlign w:val="center"/>
          </w:tcPr>
          <w:p>
            <w:pPr>
              <w:jc w:val="center"/>
              <w:rPr>
                <w:rFonts w:ascii="宋体"/>
                <w:szCs w:val="21"/>
              </w:rPr>
            </w:pPr>
            <w:r>
              <w:rPr>
                <w:rFonts w:hint="eastAsia"/>
                <w:szCs w:val="21"/>
              </w:rPr>
              <w:t>事故状态下产生废变压器油，含油废水后，统一交由有资质的单位进行处理。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67" w:hRule="atLeast"/>
          <w:jc w:val="center"/>
        </w:trPr>
        <w:tc>
          <w:tcPr>
            <w:tcW w:w="1512" w:type="dxa"/>
            <w:vMerge w:val="continue"/>
            <w:vAlign w:val="center"/>
          </w:tcPr>
          <w:p>
            <w:pPr>
              <w:spacing w:line="360" w:lineRule="auto"/>
              <w:jc w:val="center"/>
              <w:rPr>
                <w:rFonts w:ascii="宋体"/>
                <w:szCs w:val="21"/>
              </w:rPr>
            </w:pPr>
          </w:p>
        </w:tc>
        <w:tc>
          <w:tcPr>
            <w:tcW w:w="1934" w:type="dxa"/>
            <w:vAlign w:val="center"/>
          </w:tcPr>
          <w:p>
            <w:pPr>
              <w:spacing w:line="360" w:lineRule="auto"/>
              <w:jc w:val="center"/>
              <w:rPr>
                <w:rFonts w:hint="eastAsia" w:ascii="宋体" w:eastAsia="宋体"/>
                <w:szCs w:val="21"/>
                <w:lang w:val="en-US" w:eastAsia="zh-CN"/>
              </w:rPr>
            </w:pPr>
            <w:r>
              <w:rPr>
                <w:rFonts w:hint="eastAsia" w:ascii="宋体" w:hAnsi="宋体"/>
                <w:bCs/>
                <w:szCs w:val="21"/>
                <w:lang w:val="en-US" w:eastAsia="zh-CN"/>
              </w:rPr>
              <w:t>备用</w:t>
            </w:r>
            <w:r>
              <w:rPr>
                <w:rFonts w:hint="eastAsia" w:ascii="宋体" w:hAnsi="宋体"/>
                <w:szCs w:val="21"/>
              </w:rPr>
              <w:t>电</w:t>
            </w:r>
            <w:r>
              <w:rPr>
                <w:rFonts w:hint="eastAsia" w:ascii="宋体" w:hAnsi="宋体"/>
                <w:szCs w:val="21"/>
                <w:lang w:val="en-US" w:eastAsia="zh-CN"/>
              </w:rPr>
              <w:t>源</w:t>
            </w:r>
          </w:p>
        </w:tc>
        <w:tc>
          <w:tcPr>
            <w:tcW w:w="1294" w:type="dxa"/>
            <w:vAlign w:val="center"/>
          </w:tcPr>
          <w:p>
            <w:pPr>
              <w:spacing w:line="360" w:lineRule="auto"/>
              <w:jc w:val="center"/>
              <w:rPr>
                <w:rFonts w:ascii="宋体"/>
                <w:szCs w:val="21"/>
              </w:rPr>
            </w:pPr>
            <w:r>
              <w:rPr>
                <w:rFonts w:hint="eastAsia" w:ascii="宋体" w:hAnsi="宋体"/>
                <w:szCs w:val="21"/>
              </w:rPr>
              <w:t>废铅酸蓄</w:t>
            </w:r>
          </w:p>
          <w:p>
            <w:pPr>
              <w:spacing w:line="360" w:lineRule="auto"/>
              <w:jc w:val="center"/>
              <w:rPr>
                <w:rFonts w:ascii="宋体"/>
                <w:szCs w:val="21"/>
              </w:rPr>
            </w:pPr>
            <w:r>
              <w:rPr>
                <w:rFonts w:hint="eastAsia" w:ascii="宋体" w:hAnsi="宋体"/>
                <w:szCs w:val="21"/>
              </w:rPr>
              <w:t>电池</w:t>
            </w:r>
          </w:p>
        </w:tc>
        <w:tc>
          <w:tcPr>
            <w:tcW w:w="1965" w:type="dxa"/>
            <w:vAlign w:val="center"/>
          </w:tcPr>
          <w:p>
            <w:pPr>
              <w:spacing w:line="360" w:lineRule="auto"/>
              <w:jc w:val="center"/>
              <w:rPr>
                <w:rFonts w:ascii="宋体"/>
                <w:szCs w:val="21"/>
              </w:rPr>
            </w:pPr>
            <w:r>
              <w:rPr>
                <w:rFonts w:hint="eastAsia" w:ascii="宋体" w:hAnsi="宋体"/>
                <w:szCs w:val="21"/>
              </w:rPr>
              <w:t>1组/6～10年</w:t>
            </w:r>
          </w:p>
        </w:tc>
        <w:tc>
          <w:tcPr>
            <w:tcW w:w="2795" w:type="dxa"/>
            <w:vAlign w:val="center"/>
          </w:tcPr>
          <w:p>
            <w:pPr>
              <w:jc w:val="center"/>
              <w:rPr>
                <w:rFonts w:ascii="宋体"/>
                <w:szCs w:val="21"/>
              </w:rPr>
            </w:pPr>
            <w:r>
              <w:rPr>
                <w:rFonts w:hint="eastAsia"/>
                <w:szCs w:val="21"/>
              </w:rPr>
              <w:t>废旧铅酸蓄电池退役后，统一交由有处置资质的单位回收处置，处置过程中严格执行《废铅酸蓄电池处理污染控制技术规范》（HJ519-2009）的相关要求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35" w:hRule="exact"/>
          <w:jc w:val="center"/>
        </w:trPr>
        <w:tc>
          <w:tcPr>
            <w:tcW w:w="1512" w:type="dxa"/>
            <w:vAlign w:val="center"/>
          </w:tcPr>
          <w:p>
            <w:pPr>
              <w:jc w:val="center"/>
              <w:rPr>
                <w:rFonts w:hint="eastAsia"/>
                <w:szCs w:val="21"/>
              </w:rPr>
            </w:pPr>
            <w:r>
              <w:rPr>
                <w:rFonts w:hint="eastAsia"/>
                <w:szCs w:val="21"/>
              </w:rPr>
              <w:t>噪声</w:t>
            </w:r>
          </w:p>
        </w:tc>
        <w:tc>
          <w:tcPr>
            <w:tcW w:w="7988" w:type="dxa"/>
            <w:gridSpan w:val="4"/>
            <w:vAlign w:val="center"/>
          </w:tcPr>
          <w:p>
            <w:pPr>
              <w:jc w:val="left"/>
              <w:rPr>
                <w:rFonts w:hint="eastAsia" w:eastAsia="宋体"/>
                <w:szCs w:val="21"/>
                <w:lang w:val="en-US" w:eastAsia="zh-CN"/>
              </w:rPr>
            </w:pPr>
            <w:r>
              <w:rPr>
                <w:rFonts w:hint="eastAsia"/>
                <w:szCs w:val="21"/>
              </w:rPr>
              <w:t>本工程变电站位于青岛特钢厂区内，厂区内其他生产设备对变电站厂界周围的噪声影响远大于变电站正常运行的噪声</w:t>
            </w:r>
            <w:r>
              <w:rPr>
                <w:rFonts w:hint="eastAsia"/>
                <w:szCs w:val="21"/>
                <w:lang w:eastAsia="zh-CN"/>
              </w:rPr>
              <w:t>，</w:t>
            </w:r>
            <w:r>
              <w:rPr>
                <w:rFonts w:hint="eastAsia"/>
                <w:szCs w:val="21"/>
                <w:lang w:val="en-US" w:eastAsia="zh-CN"/>
              </w:rPr>
              <w:t>2018年11月</w:t>
            </w:r>
            <w:r>
              <w:rPr>
                <w:rFonts w:hint="eastAsia"/>
                <w:szCs w:val="21"/>
              </w:rPr>
              <w:t>青岛中维安全检测有限公司</w:t>
            </w:r>
            <w:r>
              <w:rPr>
                <w:rFonts w:hint="eastAsia"/>
                <w:szCs w:val="21"/>
                <w:lang w:val="en-US" w:eastAsia="zh-CN"/>
              </w:rPr>
              <w:t>对青岛特钢厂区边界噪声进行验收监测，监测结果符合</w:t>
            </w:r>
            <w:r>
              <w:rPr>
                <w:rFonts w:hint="eastAsia"/>
                <w:szCs w:val="21"/>
              </w:rPr>
              <w:t>厂界噪声《工业企业厂界环境噪声排放标准》 ( GB12348-2008)中3类区标准（</w:t>
            </w:r>
            <w:r>
              <w:rPr>
                <w:rFonts w:hint="eastAsia"/>
                <w:szCs w:val="21"/>
                <w:lang w:eastAsia="zh-CN"/>
              </w:rPr>
              <w:t>昼间65dB（A）、夜间55dB（A）</w:t>
            </w:r>
            <w:r>
              <w:rPr>
                <w:rFonts w:hint="eastAsia"/>
                <w:szCs w:val="21"/>
              </w:rPr>
              <w:t>）</w:t>
            </w:r>
            <w:r>
              <w:rPr>
                <w:rFonts w:hint="eastAsia"/>
                <w:szCs w:val="21"/>
                <w:lang w:val="en-US" w:eastAsia="zh-CN"/>
              </w:rPr>
              <w:t>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30" w:hRule="atLeast"/>
          <w:jc w:val="center"/>
        </w:trPr>
        <w:tc>
          <w:tcPr>
            <w:tcW w:w="1512" w:type="dxa"/>
            <w:vAlign w:val="center"/>
          </w:tcPr>
          <w:p>
            <w:pPr>
              <w:spacing w:line="360" w:lineRule="auto"/>
              <w:jc w:val="center"/>
              <w:rPr>
                <w:rFonts w:ascii="宋体"/>
                <w:szCs w:val="21"/>
              </w:rPr>
            </w:pPr>
            <w:r>
              <w:rPr>
                <w:rFonts w:hint="eastAsia" w:ascii="宋体" w:hAnsi="宋体"/>
                <w:szCs w:val="21"/>
              </w:rPr>
              <w:t>电磁</w:t>
            </w:r>
          </w:p>
        </w:tc>
        <w:tc>
          <w:tcPr>
            <w:tcW w:w="7988" w:type="dxa"/>
            <w:gridSpan w:val="4"/>
            <w:vAlign w:val="center"/>
          </w:tcPr>
          <w:p>
            <w:pPr>
              <w:spacing w:line="360" w:lineRule="auto"/>
              <w:rPr>
                <w:rFonts w:ascii="宋体"/>
                <w:snapToGrid w:val="0"/>
                <w:kern w:val="0"/>
                <w:szCs w:val="21"/>
              </w:rPr>
            </w:pPr>
            <w:r>
              <w:rPr>
                <w:rFonts w:hint="eastAsia" w:ascii="宋体" w:hAnsi="宋体"/>
                <w:snapToGrid w:val="0"/>
                <w:spacing w:val="-4"/>
                <w:kern w:val="0"/>
                <w:szCs w:val="21"/>
              </w:rPr>
              <w:t>变电站</w:t>
            </w:r>
            <w:r>
              <w:rPr>
                <w:rFonts w:hint="eastAsia" w:ascii="宋体" w:hAnsi="宋体"/>
                <w:snapToGrid w:val="0"/>
                <w:kern w:val="0"/>
                <w:szCs w:val="21"/>
              </w:rPr>
              <w:t>会产生工频电场、工频磁场等环境影响，工频电场强度≤</w:t>
            </w:r>
            <w:r>
              <w:rPr>
                <w:rFonts w:ascii="宋体" w:hAnsi="宋体"/>
                <w:snapToGrid w:val="0"/>
                <w:kern w:val="0"/>
                <w:szCs w:val="21"/>
              </w:rPr>
              <w:t>4000V/m</w:t>
            </w:r>
            <w:r>
              <w:rPr>
                <w:rFonts w:hint="eastAsia" w:ascii="宋体" w:hAnsi="宋体"/>
                <w:snapToGrid w:val="0"/>
                <w:kern w:val="0"/>
                <w:szCs w:val="21"/>
              </w:rPr>
              <w:t>，工频磁感应强度≤</w:t>
            </w:r>
            <w:r>
              <w:rPr>
                <w:rFonts w:ascii="宋体" w:hAnsi="宋体"/>
                <w:snapToGrid w:val="0"/>
                <w:kern w:val="0"/>
                <w:szCs w:val="21"/>
              </w:rPr>
              <w:t>100</w:t>
            </w:r>
            <w:r>
              <w:rPr>
                <w:rFonts w:hint="eastAsia" w:ascii="宋体" w:hAnsi="宋体"/>
                <w:snapToGrid w:val="0"/>
                <w:kern w:val="0"/>
                <w:szCs w:val="21"/>
              </w:rPr>
              <w:t>μ</w:t>
            </w:r>
            <w:r>
              <w:rPr>
                <w:rFonts w:ascii="宋体" w:hAnsi="宋体"/>
                <w:snapToGrid w:val="0"/>
                <w:kern w:val="0"/>
                <w:szCs w:val="21"/>
              </w:rPr>
              <w: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2" w:hRule="exact"/>
          <w:jc w:val="center"/>
        </w:trPr>
        <w:tc>
          <w:tcPr>
            <w:tcW w:w="1512" w:type="dxa"/>
            <w:vAlign w:val="center"/>
          </w:tcPr>
          <w:p>
            <w:pPr>
              <w:spacing w:line="360" w:lineRule="auto"/>
              <w:jc w:val="center"/>
              <w:rPr>
                <w:rFonts w:ascii="宋体"/>
                <w:szCs w:val="21"/>
              </w:rPr>
            </w:pPr>
            <w:r>
              <w:rPr>
                <w:rFonts w:hint="eastAsia" w:ascii="宋体" w:hAnsi="宋体"/>
                <w:szCs w:val="21"/>
              </w:rPr>
              <w:t>其他</w:t>
            </w:r>
          </w:p>
        </w:tc>
        <w:tc>
          <w:tcPr>
            <w:tcW w:w="7988" w:type="dxa"/>
            <w:gridSpan w:val="4"/>
            <w:vAlign w:val="center"/>
          </w:tcPr>
          <w:p>
            <w:pPr>
              <w:spacing w:line="360" w:lineRule="auto"/>
              <w:jc w:val="center"/>
              <w:rPr>
                <w:rFonts w:ascii="宋体"/>
                <w:snapToGrid w:val="0"/>
                <w:kern w:val="0"/>
                <w:szCs w:val="21"/>
              </w:rPr>
            </w:pPr>
            <w:r>
              <w:rPr>
                <w:rFonts w:ascii="宋体" w:hAnsi="宋体"/>
                <w:snapToGrid w:val="0"/>
                <w:kern w:val="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99" w:hRule="atLeast"/>
          <w:jc w:val="center"/>
        </w:trPr>
        <w:tc>
          <w:tcPr>
            <w:tcW w:w="9500" w:type="dxa"/>
            <w:gridSpan w:val="5"/>
          </w:tcPr>
          <w:p>
            <w:pPr>
              <w:spacing w:before="78" w:beforeLines="25" w:after="78" w:afterLines="25" w:line="360" w:lineRule="auto"/>
              <w:rPr>
                <w:rFonts w:ascii="宋体"/>
                <w:b/>
                <w:sz w:val="24"/>
              </w:rPr>
            </w:pPr>
            <w:r>
              <w:rPr>
                <w:rFonts w:hint="eastAsia" w:ascii="宋体" w:hAnsi="宋体"/>
                <w:b/>
                <w:sz w:val="24"/>
              </w:rPr>
              <w:t>主要生态影响</w:t>
            </w:r>
            <w:r>
              <w:rPr>
                <w:rFonts w:ascii="宋体" w:hAnsi="宋体"/>
                <w:b/>
                <w:sz w:val="24"/>
              </w:rPr>
              <w:t>(</w:t>
            </w:r>
            <w:r>
              <w:rPr>
                <w:rFonts w:hint="eastAsia" w:ascii="宋体" w:hAnsi="宋体"/>
                <w:b/>
                <w:sz w:val="24"/>
              </w:rPr>
              <w:t>不够时可附另页</w:t>
            </w:r>
            <w:r>
              <w:rPr>
                <w:rFonts w:ascii="宋体" w:hAnsi="宋体"/>
                <w:b/>
                <w:sz w:val="24"/>
              </w:rPr>
              <w:t>)</w:t>
            </w:r>
          </w:p>
          <w:p>
            <w:pPr>
              <w:spacing w:line="360" w:lineRule="auto"/>
              <w:ind w:firstLine="480" w:firstLineChars="200"/>
              <w:rPr>
                <w:rFonts w:ascii="宋体" w:hAnsi="宋体"/>
                <w:sz w:val="24"/>
              </w:rPr>
            </w:pPr>
            <w:r>
              <w:rPr>
                <w:rFonts w:hint="eastAsia" w:ascii="宋体" w:hAnsi="宋体"/>
                <w:sz w:val="24"/>
              </w:rPr>
              <w:t>本工程变电站已建成投运，站内已进行土地固化处理，在多年运行过程中对周围生态环境影响较小。</w:t>
            </w:r>
          </w:p>
          <w:p>
            <w:pPr>
              <w:spacing w:line="360" w:lineRule="auto"/>
              <w:ind w:firstLine="480" w:firstLineChars="200"/>
              <w:rPr>
                <w:rFonts w:ascii="宋体" w:hAnsi="宋体"/>
                <w:sz w:val="24"/>
              </w:rPr>
            </w:pPr>
            <w:r>
              <w:rPr>
                <w:rFonts w:hint="eastAsia" w:ascii="宋体" w:hAnsi="宋体"/>
                <w:sz w:val="24"/>
              </w:rPr>
              <w:t>输电线路（空中电缆</w:t>
            </w:r>
            <w:r>
              <w:rPr>
                <w:rFonts w:hint="eastAsia" w:ascii="宋体" w:hAnsi="宋体"/>
                <w:sz w:val="24"/>
                <w:lang w:val="en-US" w:eastAsia="zh-CN"/>
              </w:rPr>
              <w:t>通</w:t>
            </w:r>
            <w:r>
              <w:rPr>
                <w:rFonts w:hint="eastAsia" w:ascii="宋体" w:hAnsi="宋体"/>
                <w:sz w:val="24"/>
              </w:rPr>
              <w:t>廊）全部位于青岛特钢厂区内，对周围生态环境影响较小。</w:t>
            </w:r>
          </w:p>
          <w:p>
            <w:pPr>
              <w:spacing w:line="360" w:lineRule="auto"/>
              <w:ind w:firstLine="480" w:firstLineChars="200"/>
              <w:rPr>
                <w:sz w:val="24"/>
              </w:rPr>
            </w:pPr>
          </w:p>
          <w:p>
            <w:pPr>
              <w:spacing w:line="360" w:lineRule="auto"/>
              <w:ind w:firstLine="480" w:firstLineChars="200"/>
              <w:rPr>
                <w:sz w:val="24"/>
              </w:rPr>
            </w:pPr>
          </w:p>
          <w:p>
            <w:pPr>
              <w:spacing w:line="360" w:lineRule="auto"/>
              <w:ind w:firstLine="480" w:firstLineChars="200"/>
              <w:rPr>
                <w:sz w:val="24"/>
              </w:rPr>
            </w:pPr>
          </w:p>
          <w:p>
            <w:pPr>
              <w:spacing w:line="360" w:lineRule="auto"/>
              <w:ind w:firstLine="480" w:firstLineChars="200"/>
              <w:rPr>
                <w:sz w:val="24"/>
              </w:rPr>
            </w:pPr>
          </w:p>
          <w:p>
            <w:pPr>
              <w:spacing w:line="360" w:lineRule="auto"/>
              <w:ind w:firstLine="480" w:firstLineChars="200"/>
              <w:rPr>
                <w:sz w:val="24"/>
              </w:rPr>
            </w:pPr>
          </w:p>
          <w:p>
            <w:pPr>
              <w:spacing w:line="360" w:lineRule="auto"/>
              <w:rPr>
                <w:sz w:val="24"/>
              </w:rPr>
            </w:pPr>
          </w:p>
        </w:tc>
      </w:tr>
      <w:bookmarkEnd w:id="5"/>
    </w:tbl>
    <w:p>
      <w:pPr>
        <w:spacing w:before="156" w:beforeLines="50"/>
        <w:rPr>
          <w:rFonts w:ascii="黑体" w:eastAsia="黑体"/>
          <w:bCs/>
          <w:sz w:val="28"/>
          <w:szCs w:val="28"/>
        </w:rPr>
      </w:pPr>
      <w:r>
        <w:rPr>
          <w:rFonts w:ascii="黑体" w:eastAsia="黑体"/>
          <w:bCs/>
          <w:sz w:val="28"/>
          <w:szCs w:val="28"/>
        </w:rPr>
        <w:t>7</w:t>
      </w:r>
      <w:r>
        <w:rPr>
          <w:rFonts w:hint="eastAsia" w:ascii="黑体" w:eastAsia="黑体"/>
          <w:bCs/>
          <w:sz w:val="28"/>
          <w:szCs w:val="28"/>
        </w:rPr>
        <w:t>环境影响分析</w:t>
      </w:r>
    </w:p>
    <w:tbl>
      <w:tblPr>
        <w:tblStyle w:val="22"/>
        <w:tblW w:w="9428" w:type="dxa"/>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941" w:hRule="atLeast"/>
        </w:trPr>
        <w:tc>
          <w:tcPr>
            <w:tcW w:w="9428" w:type="dxa"/>
          </w:tcPr>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7.1 </w:t>
            </w:r>
            <w:r>
              <w:rPr>
                <w:rFonts w:hint="eastAsia" w:ascii="黑体" w:eastAsia="黑体"/>
                <w:snapToGrid w:val="0"/>
                <w:kern w:val="0"/>
                <w:sz w:val="28"/>
                <w:szCs w:val="28"/>
              </w:rPr>
              <w:t>施工期环境影响简要分析</w:t>
            </w:r>
          </w:p>
          <w:p>
            <w:pPr>
              <w:pStyle w:val="5"/>
              <w:spacing w:line="360" w:lineRule="auto"/>
              <w:ind w:firstLine="468"/>
              <w:rPr>
                <w:rFonts w:hAnsi="宋体"/>
                <w:snapToGrid w:val="0"/>
                <w:kern w:val="0"/>
                <w:szCs w:val="24"/>
              </w:rPr>
            </w:pPr>
            <w:r>
              <w:rPr>
                <w:rFonts w:hint="eastAsia" w:hAnsi="宋体"/>
                <w:snapToGrid w:val="0"/>
                <w:spacing w:val="-3"/>
                <w:kern w:val="0"/>
              </w:rPr>
              <w:t>本工程变电站已建成投产多年，施工期环境影响已消失。</w:t>
            </w:r>
          </w:p>
          <w:p>
            <w:pPr>
              <w:adjustRightInd w:val="0"/>
              <w:spacing w:line="360" w:lineRule="auto"/>
              <w:outlineLvl w:val="1"/>
              <w:rPr>
                <w:rFonts w:ascii="黑体" w:eastAsia="黑体"/>
                <w:snapToGrid w:val="0"/>
                <w:kern w:val="0"/>
                <w:sz w:val="28"/>
                <w:szCs w:val="28"/>
              </w:rPr>
            </w:pPr>
            <w:r>
              <w:rPr>
                <w:rFonts w:ascii="黑体" w:eastAsia="黑体"/>
                <w:snapToGrid w:val="0"/>
                <w:kern w:val="0"/>
                <w:sz w:val="28"/>
                <w:szCs w:val="28"/>
              </w:rPr>
              <w:t>7.2</w:t>
            </w:r>
            <w:r>
              <w:rPr>
                <w:rFonts w:hint="eastAsia" w:ascii="黑体" w:eastAsia="黑体"/>
                <w:snapToGrid w:val="0"/>
                <w:kern w:val="0"/>
                <w:sz w:val="28"/>
                <w:szCs w:val="28"/>
              </w:rPr>
              <w:t>运营期环境影响分析</w:t>
            </w:r>
          </w:p>
          <w:p>
            <w:pPr>
              <w:adjustRightInd w:val="0"/>
              <w:spacing w:line="360" w:lineRule="auto"/>
              <w:outlineLvl w:val="2"/>
              <w:rPr>
                <w:rFonts w:ascii="黑体" w:eastAsia="黑体"/>
                <w:snapToGrid w:val="0"/>
                <w:kern w:val="0"/>
                <w:sz w:val="24"/>
              </w:rPr>
            </w:pPr>
            <w:r>
              <w:rPr>
                <w:rFonts w:ascii="黑体" w:eastAsia="黑体"/>
                <w:snapToGrid w:val="0"/>
                <w:kern w:val="0"/>
                <w:sz w:val="24"/>
              </w:rPr>
              <w:t xml:space="preserve">7.2.1 </w:t>
            </w:r>
            <w:r>
              <w:rPr>
                <w:rFonts w:hint="eastAsia" w:ascii="黑体" w:eastAsia="黑体"/>
                <w:snapToGrid w:val="0"/>
                <w:kern w:val="0"/>
                <w:sz w:val="24"/>
              </w:rPr>
              <w:t>电磁环境影响分析</w:t>
            </w:r>
          </w:p>
          <w:p>
            <w:pPr>
              <w:pStyle w:val="2"/>
              <w:spacing w:after="0" w:line="360" w:lineRule="auto"/>
              <w:ind w:firstLine="480" w:firstLineChars="200"/>
              <w:jc w:val="both"/>
              <w:rPr>
                <w:rFonts w:ascii="宋体" w:hAnsi="宋体"/>
                <w:snapToGrid w:val="0"/>
                <w:kern w:val="0"/>
                <w:sz w:val="24"/>
              </w:rPr>
            </w:pPr>
            <w:r>
              <w:rPr>
                <w:rFonts w:hint="eastAsia" w:ascii="宋体" w:hAnsi="宋体"/>
                <w:sz w:val="24"/>
                <w:lang w:val="en-US" w:eastAsia="zh-CN"/>
              </w:rPr>
              <w:t>炼铁鼓风110kV变电站</w:t>
            </w:r>
            <w:r>
              <w:rPr>
                <w:rFonts w:hint="eastAsia" w:ascii="宋体" w:hAnsi="宋体"/>
                <w:sz w:val="24"/>
              </w:rPr>
              <w:t>已建成投</w:t>
            </w:r>
            <w:r>
              <w:rPr>
                <w:rFonts w:hint="eastAsia" w:ascii="宋体" w:hAnsi="宋体"/>
                <w:snapToGrid w:val="0"/>
                <w:kern w:val="0"/>
                <w:sz w:val="24"/>
              </w:rPr>
              <w:t>运，</w:t>
            </w:r>
            <w:r>
              <w:rPr>
                <w:rFonts w:hint="eastAsia" w:ascii="宋体" w:hAnsi="宋体"/>
                <w:sz w:val="24"/>
              </w:rPr>
              <w:t>变电站对周围电磁环境影响</w:t>
            </w:r>
            <w:r>
              <w:rPr>
                <w:rFonts w:hint="eastAsia" w:ascii="宋体" w:hAnsi="宋体"/>
                <w:snapToGrid w:val="0"/>
                <w:kern w:val="0"/>
                <w:sz w:val="24"/>
              </w:rPr>
              <w:t>根据本次现状检测结果进行分析。</w:t>
            </w:r>
          </w:p>
          <w:p>
            <w:pPr>
              <w:tabs>
                <w:tab w:val="right" w:pos="9412"/>
              </w:tabs>
              <w:spacing w:line="360" w:lineRule="auto"/>
              <w:ind w:firstLine="480" w:firstLineChars="200"/>
              <w:rPr>
                <w:rFonts w:ascii="宋体" w:hAnsi="宋体"/>
                <w:spacing w:val="-4"/>
                <w:sz w:val="24"/>
              </w:rPr>
            </w:pPr>
            <w:r>
              <w:rPr>
                <w:rFonts w:hint="eastAsia" w:ascii="宋体" w:hAnsi="宋体"/>
                <w:sz w:val="24"/>
              </w:rPr>
              <w:t>由表3-</w:t>
            </w:r>
            <w:r>
              <w:rPr>
                <w:rFonts w:hint="eastAsia" w:ascii="宋体" w:hAnsi="宋体" w:eastAsia="宋体" w:cs="Times New Roman"/>
                <w:kern w:val="2"/>
                <w:sz w:val="24"/>
                <w:szCs w:val="21"/>
                <w:lang w:val="en-US" w:eastAsia="zh-CN" w:bidi="ar-SA"/>
              </w:rPr>
              <w:t>6可知，本工程变电站周围工频电场强度为（4.698～13.83）V/m、磁感应强度为（0.036～0.848）μT；线路周围的工频电场强度为（5.878～17.14）V/m、磁感应强度值为（0.010～0.034）μT，均满足《电磁环境控制限值》（GB8702-2014）规定的工频电场强度公众曝露控制限值4000V/m、工频磁</w:t>
            </w:r>
            <w:r>
              <w:rPr>
                <w:rFonts w:hint="eastAsia" w:asciiTheme="minorEastAsia" w:hAnsiTheme="minorEastAsia" w:eastAsiaTheme="minorEastAsia"/>
                <w:snapToGrid w:val="0"/>
                <w:kern w:val="0"/>
                <w:sz w:val="24"/>
              </w:rPr>
              <w:t>感应强度</w:t>
            </w:r>
            <w:r>
              <w:rPr>
                <w:rFonts w:hint="eastAsia" w:ascii="宋体" w:hAnsi="宋体"/>
                <w:snapToGrid w:val="0"/>
                <w:kern w:val="0"/>
                <w:sz w:val="24"/>
              </w:rPr>
              <w:t>公众曝露</w:t>
            </w:r>
            <w:r>
              <w:rPr>
                <w:rFonts w:hint="eastAsia" w:asciiTheme="minorEastAsia" w:hAnsiTheme="minorEastAsia" w:eastAsiaTheme="minorEastAsia"/>
                <w:snapToGrid w:val="0"/>
                <w:kern w:val="0"/>
                <w:sz w:val="24"/>
              </w:rPr>
              <w:t>控制限值100μT的要求。</w:t>
            </w:r>
            <w:r>
              <w:rPr>
                <w:rFonts w:hint="eastAsia" w:asciiTheme="minorEastAsia" w:hAnsiTheme="minorEastAsia" w:eastAsiaTheme="minorEastAsia"/>
                <w:snapToGrid w:val="0"/>
                <w:kern w:val="0"/>
                <w:sz w:val="24"/>
                <w:lang w:val="en-US" w:eastAsia="zh-CN"/>
              </w:rPr>
              <w:t>炼铁鼓风110kV变配电站</w:t>
            </w:r>
            <w:r>
              <w:rPr>
                <w:rFonts w:hint="eastAsia" w:asciiTheme="minorEastAsia" w:hAnsiTheme="minorEastAsia" w:eastAsiaTheme="minorEastAsia"/>
                <w:snapToGrid w:val="0"/>
                <w:kern w:val="0"/>
                <w:sz w:val="24"/>
              </w:rPr>
              <w:t>工程在正常运行过程中，对周边区域</w:t>
            </w:r>
            <w:r>
              <w:rPr>
                <w:rFonts w:hint="eastAsia" w:ascii="宋体" w:hAnsi="宋体"/>
                <w:snapToGrid w:val="0"/>
                <w:kern w:val="0"/>
                <w:sz w:val="24"/>
              </w:rPr>
              <w:t xml:space="preserve">的电磁环境产生的影响满足国家的相关要求。     </w:t>
            </w:r>
          </w:p>
          <w:p>
            <w:pPr>
              <w:adjustRightInd w:val="0"/>
              <w:spacing w:line="360" w:lineRule="auto"/>
              <w:outlineLvl w:val="2"/>
              <w:rPr>
                <w:rFonts w:ascii="黑体" w:eastAsia="黑体"/>
                <w:snapToGrid w:val="0"/>
                <w:kern w:val="0"/>
                <w:sz w:val="24"/>
              </w:rPr>
            </w:pPr>
            <w:r>
              <w:rPr>
                <w:rFonts w:ascii="黑体" w:eastAsia="黑体"/>
                <w:snapToGrid w:val="0"/>
                <w:kern w:val="0"/>
                <w:sz w:val="24"/>
              </w:rPr>
              <w:t xml:space="preserve">7.2.2 </w:t>
            </w:r>
            <w:r>
              <w:rPr>
                <w:rFonts w:hint="eastAsia" w:ascii="黑体" w:eastAsia="黑体"/>
                <w:snapToGrid w:val="0"/>
                <w:kern w:val="0"/>
                <w:sz w:val="24"/>
              </w:rPr>
              <w:t>声环境影响分析</w:t>
            </w:r>
          </w:p>
          <w:p>
            <w:pPr>
              <w:tabs>
                <w:tab w:val="right" w:pos="9412"/>
              </w:tabs>
              <w:spacing w:line="360" w:lineRule="auto"/>
              <w:ind w:firstLine="480" w:firstLineChars="200"/>
              <w:rPr>
                <w:rFonts w:hint="eastAsia" w:asciiTheme="minorEastAsia" w:hAnsiTheme="minorEastAsia" w:eastAsiaTheme="minorEastAsia"/>
                <w:snapToGrid w:val="0"/>
                <w:kern w:val="0"/>
                <w:sz w:val="24"/>
              </w:rPr>
            </w:pPr>
            <w:r>
              <w:rPr>
                <w:rFonts w:hint="eastAsia" w:ascii="宋体" w:hAnsi="宋体"/>
                <w:snapToGrid w:val="0"/>
                <w:kern w:val="0"/>
                <w:sz w:val="24"/>
              </w:rPr>
              <w:t>根据《环</w:t>
            </w:r>
            <w:r>
              <w:rPr>
                <w:rFonts w:hint="eastAsia" w:asciiTheme="minorEastAsia" w:hAnsiTheme="minorEastAsia" w:eastAsiaTheme="minorEastAsia"/>
                <w:snapToGrid w:val="0"/>
                <w:kern w:val="0"/>
                <w:sz w:val="24"/>
              </w:rPr>
              <w:t>境影响评价技术导则 输变电工程》（HJ24-2014）和《环境影响评价技术导则 声环境》（HJ2.4-2009），</w:t>
            </w:r>
            <w:r>
              <w:rPr>
                <w:rFonts w:hint="eastAsia" w:asciiTheme="minorEastAsia" w:hAnsiTheme="minorEastAsia" w:eastAsiaTheme="minorEastAsia"/>
                <w:snapToGrid w:val="0"/>
                <w:kern w:val="0"/>
                <w:sz w:val="24"/>
                <w:lang w:val="en-US" w:eastAsia="zh-CN"/>
              </w:rPr>
              <w:t>炼铁鼓风110kV变电站</w:t>
            </w:r>
            <w:r>
              <w:rPr>
                <w:rFonts w:hint="eastAsia" w:asciiTheme="minorEastAsia" w:hAnsiTheme="minorEastAsia" w:eastAsiaTheme="minorEastAsia"/>
                <w:snapToGrid w:val="0"/>
                <w:kern w:val="0"/>
                <w:sz w:val="24"/>
              </w:rPr>
              <w:t>位于青岛特钢厂区内，厂区内其他生产设备对变电站厂界周围的噪声影响远大于变电站正常运行的噪声</w:t>
            </w:r>
            <w:r>
              <w:rPr>
                <w:rFonts w:hint="eastAsia" w:asciiTheme="minorEastAsia" w:hAnsiTheme="minorEastAsia" w:eastAsiaTheme="minorEastAsia"/>
                <w:snapToGrid w:val="0"/>
                <w:kern w:val="0"/>
                <w:sz w:val="24"/>
                <w:lang w:eastAsia="zh-CN"/>
              </w:rPr>
              <w:t>，</w:t>
            </w:r>
            <w:r>
              <w:rPr>
                <w:rFonts w:hint="eastAsia" w:ascii="宋体" w:hAnsi="宋体"/>
                <w:kern w:val="0"/>
                <w:sz w:val="24"/>
                <w:lang w:val="en-US" w:eastAsia="zh-CN"/>
              </w:rPr>
              <w:t>故以青岛特钢厂区边界噪声</w:t>
            </w:r>
            <w:r>
              <w:rPr>
                <w:rFonts w:hint="eastAsia" w:ascii="宋体" w:hAnsi="宋体" w:eastAsia="宋体" w:cs="Times New Roman"/>
                <w:kern w:val="0"/>
                <w:sz w:val="24"/>
                <w:lang w:val="en-US" w:eastAsia="zh-CN"/>
              </w:rPr>
              <w:t>来评价厂界噪声是否达标</w:t>
            </w:r>
            <w:r>
              <w:rPr>
                <w:rFonts w:hint="eastAsia" w:ascii="宋体" w:hAnsi="宋体" w:eastAsia="宋体" w:cs="Times New Roman"/>
                <w:kern w:val="0"/>
                <w:sz w:val="24"/>
              </w:rPr>
              <w:t>。</w:t>
            </w:r>
            <w:r>
              <w:rPr>
                <w:rFonts w:hint="eastAsia" w:asciiTheme="minorEastAsia" w:hAnsiTheme="minorEastAsia" w:eastAsiaTheme="minorEastAsia"/>
                <w:snapToGrid w:val="0"/>
                <w:kern w:val="0"/>
                <w:sz w:val="24"/>
                <w:lang w:val="en-US" w:eastAsia="zh-CN"/>
              </w:rPr>
              <w:t>2018年11月</w:t>
            </w:r>
            <w:r>
              <w:rPr>
                <w:rFonts w:hint="eastAsia" w:asciiTheme="minorEastAsia" w:hAnsiTheme="minorEastAsia" w:eastAsiaTheme="minorEastAsia"/>
                <w:snapToGrid w:val="0"/>
                <w:kern w:val="0"/>
                <w:sz w:val="24"/>
              </w:rPr>
              <w:t>青岛中维安全检测有限公司</w:t>
            </w:r>
            <w:r>
              <w:rPr>
                <w:rFonts w:hint="eastAsia" w:asciiTheme="minorEastAsia" w:hAnsiTheme="minorEastAsia" w:eastAsiaTheme="minorEastAsia"/>
                <w:snapToGrid w:val="0"/>
                <w:kern w:val="0"/>
                <w:sz w:val="24"/>
                <w:lang w:val="en-US" w:eastAsia="zh-CN"/>
              </w:rPr>
              <w:t>对青岛特钢厂区边界噪声进行验收监测，监测结果符合</w:t>
            </w:r>
            <w:r>
              <w:rPr>
                <w:rFonts w:hint="eastAsia" w:asciiTheme="minorEastAsia" w:hAnsiTheme="minorEastAsia" w:eastAsiaTheme="minorEastAsia"/>
                <w:snapToGrid w:val="0"/>
                <w:kern w:val="0"/>
                <w:sz w:val="24"/>
              </w:rPr>
              <w:t>厂界噪声《工业企业厂界环境噪声排放标准》 ( GB12348-2008)中3类区标准（</w:t>
            </w:r>
            <w:r>
              <w:rPr>
                <w:rFonts w:hint="eastAsia" w:asciiTheme="minorEastAsia" w:hAnsiTheme="minorEastAsia" w:eastAsiaTheme="minorEastAsia"/>
                <w:snapToGrid w:val="0"/>
                <w:kern w:val="0"/>
                <w:sz w:val="24"/>
                <w:lang w:eastAsia="zh-CN"/>
              </w:rPr>
              <w:t>昼间65dB（A）、夜间55dB（A）</w:t>
            </w:r>
            <w:r>
              <w:rPr>
                <w:rFonts w:hint="eastAsia" w:asciiTheme="minorEastAsia" w:hAnsiTheme="minorEastAsia" w:eastAsiaTheme="minorEastAsia"/>
                <w:snapToGrid w:val="0"/>
                <w:kern w:val="0"/>
                <w:sz w:val="24"/>
              </w:rPr>
              <w:t>）</w:t>
            </w:r>
            <w:r>
              <w:rPr>
                <w:rFonts w:hint="eastAsia" w:asciiTheme="minorEastAsia" w:hAnsiTheme="minorEastAsia" w:eastAsiaTheme="minorEastAsia"/>
                <w:snapToGrid w:val="0"/>
                <w:kern w:val="0"/>
                <w:sz w:val="24"/>
                <w:lang w:val="en-US" w:eastAsia="zh-CN"/>
              </w:rPr>
              <w:t>要求。</w:t>
            </w:r>
            <w:r>
              <w:rPr>
                <w:rFonts w:hint="eastAsia" w:ascii="宋体"/>
                <w:sz w:val="24"/>
                <w:highlight w:val="none"/>
                <w:lang w:val="en-US" w:eastAsia="zh-CN"/>
              </w:rPr>
              <w:t>本工程输电线路为电缆线路，不产生噪声影响</w:t>
            </w:r>
          </w:p>
          <w:p>
            <w:pPr>
              <w:pStyle w:val="10"/>
              <w:spacing w:line="360" w:lineRule="auto"/>
              <w:rPr>
                <w:rFonts w:ascii="黑体" w:hAnsi="Times New Roman" w:eastAsia="黑体"/>
                <w:snapToGrid w:val="0"/>
                <w:kern w:val="0"/>
                <w:sz w:val="24"/>
                <w:szCs w:val="24"/>
              </w:rPr>
            </w:pPr>
            <w:r>
              <w:rPr>
                <w:rFonts w:ascii="黑体" w:hAnsi="Times New Roman" w:eastAsia="黑体"/>
                <w:snapToGrid w:val="0"/>
                <w:kern w:val="0"/>
                <w:sz w:val="24"/>
                <w:szCs w:val="24"/>
              </w:rPr>
              <w:t xml:space="preserve">7.2.3 </w:t>
            </w:r>
            <w:r>
              <w:rPr>
                <w:rFonts w:hint="eastAsia" w:ascii="黑体" w:hAnsi="Times New Roman" w:eastAsia="黑体"/>
                <w:snapToGrid w:val="0"/>
                <w:kern w:val="0"/>
                <w:sz w:val="24"/>
                <w:szCs w:val="24"/>
              </w:rPr>
              <w:t>水环境影响分析</w:t>
            </w:r>
          </w:p>
          <w:p>
            <w:pPr>
              <w:tabs>
                <w:tab w:val="right" w:pos="9412"/>
              </w:tabs>
              <w:spacing w:line="360" w:lineRule="auto"/>
              <w:ind w:firstLine="480" w:firstLineChars="200"/>
              <w:rPr>
                <w:rFonts w:ascii="宋体"/>
                <w:sz w:val="24"/>
              </w:rPr>
            </w:pPr>
            <w:r>
              <w:rPr>
                <w:rFonts w:hint="eastAsia" w:ascii="宋体" w:hAnsi="宋体"/>
                <w:snapToGrid w:val="0"/>
                <w:kern w:val="0"/>
                <w:sz w:val="24"/>
              </w:rPr>
              <w:t>变电站</w:t>
            </w:r>
            <w:r>
              <w:rPr>
                <w:rFonts w:hint="eastAsia" w:ascii="宋体" w:hAnsi="宋体"/>
                <w:snapToGrid w:val="0"/>
                <w:kern w:val="0"/>
                <w:sz w:val="24"/>
                <w:lang w:val="en-US" w:eastAsia="zh-CN"/>
              </w:rPr>
              <w:t>巡检</w:t>
            </w:r>
            <w:r>
              <w:rPr>
                <w:rFonts w:hint="eastAsia" w:ascii="宋体" w:hAnsi="宋体"/>
                <w:snapToGrid w:val="0"/>
                <w:kern w:val="0"/>
                <w:sz w:val="24"/>
              </w:rPr>
              <w:t>人员产生的</w:t>
            </w:r>
            <w:r>
              <w:rPr>
                <w:rFonts w:hint="eastAsia" w:ascii="宋体" w:hAnsi="宋体"/>
                <w:snapToGrid w:val="0"/>
                <w:kern w:val="0"/>
                <w:sz w:val="24"/>
                <w:lang w:val="en-US" w:eastAsia="zh-CN"/>
              </w:rPr>
              <w:t>少量</w:t>
            </w:r>
            <w:r>
              <w:rPr>
                <w:rFonts w:hint="eastAsia" w:ascii="宋体" w:hAnsi="宋体"/>
                <w:snapToGrid w:val="0"/>
                <w:kern w:val="0"/>
                <w:sz w:val="24"/>
              </w:rPr>
              <w:t>生活污水经站内化粪池收集后排入污水管道，进入中法水务污水处理厂集中处置</w:t>
            </w:r>
            <w:r>
              <w:rPr>
                <w:rFonts w:hint="eastAsia" w:ascii="宋体" w:hAnsi="宋体"/>
                <w:bCs/>
                <w:sz w:val="24"/>
              </w:rPr>
              <w:t>。</w:t>
            </w:r>
          </w:p>
          <w:p>
            <w:pPr>
              <w:pStyle w:val="10"/>
              <w:spacing w:line="360" w:lineRule="auto"/>
              <w:rPr>
                <w:rFonts w:ascii="黑体" w:hAnsi="Times New Roman" w:eastAsia="黑体"/>
                <w:snapToGrid w:val="0"/>
                <w:kern w:val="0"/>
                <w:sz w:val="24"/>
                <w:szCs w:val="24"/>
              </w:rPr>
            </w:pPr>
            <w:r>
              <w:rPr>
                <w:rFonts w:ascii="黑体" w:hAnsi="Times New Roman" w:eastAsia="黑体"/>
                <w:snapToGrid w:val="0"/>
                <w:kern w:val="0"/>
                <w:sz w:val="24"/>
                <w:szCs w:val="24"/>
              </w:rPr>
              <w:t xml:space="preserve">7.2.4 </w:t>
            </w:r>
            <w:r>
              <w:rPr>
                <w:rFonts w:hint="eastAsia" w:ascii="黑体" w:hAnsi="Times New Roman" w:eastAsia="黑体"/>
                <w:snapToGrid w:val="0"/>
                <w:kern w:val="0"/>
                <w:sz w:val="24"/>
                <w:szCs w:val="24"/>
              </w:rPr>
              <w:t>固体废物影响分析</w:t>
            </w:r>
          </w:p>
          <w:p>
            <w:pPr>
              <w:tabs>
                <w:tab w:val="right" w:pos="9412"/>
              </w:tabs>
              <w:spacing w:line="360" w:lineRule="auto"/>
              <w:ind w:firstLine="480" w:firstLineChars="200"/>
              <w:rPr>
                <w:rFonts w:ascii="宋体" w:cs="宋体"/>
                <w:kern w:val="0"/>
                <w:sz w:val="24"/>
              </w:rPr>
            </w:pPr>
            <w:r>
              <w:rPr>
                <w:rFonts w:hint="eastAsia" w:ascii="宋体" w:cs="宋体"/>
                <w:kern w:val="0"/>
                <w:sz w:val="24"/>
              </w:rPr>
              <w:t>本工程产生固体废物为</w:t>
            </w:r>
            <w:r>
              <w:rPr>
                <w:rFonts w:hint="eastAsia" w:ascii="宋体" w:cs="宋体"/>
                <w:kern w:val="0"/>
                <w:sz w:val="24"/>
                <w:lang w:val="en-US" w:eastAsia="zh-CN"/>
              </w:rPr>
              <w:t>巡检</w:t>
            </w:r>
            <w:r>
              <w:rPr>
                <w:rFonts w:hint="eastAsia" w:ascii="宋体" w:cs="宋体"/>
                <w:kern w:val="0"/>
                <w:sz w:val="24"/>
              </w:rPr>
              <w:t>人员产生的</w:t>
            </w:r>
            <w:r>
              <w:rPr>
                <w:rFonts w:hint="eastAsia" w:ascii="宋体" w:hAnsi="宋体"/>
                <w:snapToGrid w:val="0"/>
                <w:kern w:val="0"/>
                <w:sz w:val="24"/>
                <w:lang w:val="en-US" w:eastAsia="zh-CN"/>
              </w:rPr>
              <w:t>少量</w:t>
            </w:r>
            <w:r>
              <w:rPr>
                <w:rFonts w:hint="eastAsia" w:ascii="宋体" w:cs="宋体"/>
                <w:kern w:val="0"/>
                <w:sz w:val="24"/>
              </w:rPr>
              <w:t>生活垃圾，</w:t>
            </w:r>
            <w:r>
              <w:rPr>
                <w:rFonts w:hint="eastAsia" w:hAnsi="宋体"/>
                <w:snapToGrid w:val="0"/>
                <w:kern w:val="0"/>
                <w:sz w:val="24"/>
              </w:rPr>
              <w:t>更换的废旧铅酸蓄电池以及事故状态下产生的废变压器油</w:t>
            </w:r>
            <w:r>
              <w:rPr>
                <w:rFonts w:hint="eastAsia" w:ascii="宋体" w:cs="宋体"/>
                <w:kern w:val="0"/>
                <w:sz w:val="24"/>
              </w:rPr>
              <w:t>。</w:t>
            </w:r>
          </w:p>
          <w:p>
            <w:pPr>
              <w:tabs>
                <w:tab w:val="right" w:pos="9412"/>
              </w:tabs>
              <w:spacing w:line="360" w:lineRule="auto"/>
              <w:ind w:left="480"/>
              <w:rPr>
                <w:rFonts w:ascii="宋体" w:cs="宋体"/>
                <w:kern w:val="0"/>
                <w:sz w:val="24"/>
              </w:rPr>
            </w:pPr>
            <w:r>
              <w:rPr>
                <w:rFonts w:ascii="宋体" w:cs="宋体"/>
                <w:kern w:val="0"/>
                <w:sz w:val="24"/>
              </w:rPr>
              <w:t>1</w:t>
            </w:r>
            <w:r>
              <w:rPr>
                <w:rFonts w:hint="eastAsia" w:ascii="宋体" w:cs="宋体"/>
                <w:kern w:val="0"/>
                <w:sz w:val="24"/>
              </w:rPr>
              <w:t>、生活垃圾</w:t>
            </w:r>
          </w:p>
          <w:p>
            <w:pPr>
              <w:tabs>
                <w:tab w:val="right" w:pos="9412"/>
              </w:tabs>
              <w:spacing w:line="360" w:lineRule="auto"/>
              <w:ind w:firstLine="480" w:firstLineChars="200"/>
              <w:rPr>
                <w:rFonts w:ascii="宋体" w:cs="宋体"/>
                <w:kern w:val="0"/>
                <w:sz w:val="24"/>
              </w:rPr>
            </w:pPr>
            <w:r>
              <w:rPr>
                <w:rFonts w:hint="eastAsia" w:ascii="宋体" w:cs="宋体"/>
                <w:kern w:val="0"/>
                <w:sz w:val="24"/>
              </w:rPr>
              <w:t>变电站内设有垃圾收集箱，生活垃圾集中堆放，由厂区内的环卫部门定期清运。</w:t>
            </w:r>
          </w:p>
          <w:p>
            <w:pPr>
              <w:tabs>
                <w:tab w:val="right" w:pos="9412"/>
              </w:tabs>
              <w:spacing w:line="360" w:lineRule="auto"/>
              <w:ind w:firstLine="480" w:firstLineChars="200"/>
              <w:rPr>
                <w:rFonts w:ascii="宋体" w:cs="宋体"/>
                <w:kern w:val="0"/>
                <w:sz w:val="24"/>
              </w:rPr>
            </w:pPr>
            <w:r>
              <w:rPr>
                <w:rFonts w:ascii="宋体" w:cs="宋体"/>
                <w:kern w:val="0"/>
                <w:sz w:val="24"/>
              </w:rPr>
              <w:t>2</w:t>
            </w:r>
            <w:r>
              <w:rPr>
                <w:rFonts w:hint="eastAsia" w:ascii="宋体" w:cs="宋体"/>
                <w:kern w:val="0"/>
                <w:sz w:val="24"/>
              </w:rPr>
              <w:t>、</w:t>
            </w:r>
            <w:r>
              <w:rPr>
                <w:rFonts w:hint="eastAsia" w:ascii="宋体" w:hAnsi="宋体" w:cs="宋体"/>
                <w:kern w:val="0"/>
                <w:sz w:val="24"/>
              </w:rPr>
              <w:t>变压器废油</w:t>
            </w:r>
          </w:p>
          <w:p>
            <w:pPr>
              <w:spacing w:line="360" w:lineRule="auto"/>
              <w:ind w:firstLine="480" w:firstLineChars="200"/>
              <w:rPr>
                <w:rFonts w:hint="eastAsia" w:ascii="宋体" w:hAnsi="宋体"/>
                <w:snapToGrid w:val="0"/>
                <w:color w:val="auto"/>
                <w:kern w:val="0"/>
                <w:sz w:val="24"/>
              </w:rPr>
            </w:pPr>
            <w:r>
              <w:rPr>
                <w:rFonts w:hint="eastAsia" w:ascii="宋体" w:hAnsi="宋体" w:cs="宋体"/>
                <w:kern w:val="0"/>
                <w:sz w:val="24"/>
              </w:rPr>
              <w:t>本工程</w:t>
            </w:r>
            <w:r>
              <w:rPr>
                <w:rFonts w:hint="eastAsia" w:ascii="宋体" w:hAnsi="宋体"/>
                <w:snapToGrid w:val="0"/>
                <w:kern w:val="0"/>
                <w:sz w:val="24"/>
              </w:rPr>
              <w:t>变电站</w:t>
            </w:r>
            <w:r>
              <w:rPr>
                <w:rFonts w:hint="eastAsia" w:ascii="宋体" w:hAnsi="宋体"/>
                <w:snapToGrid w:val="0"/>
                <w:spacing w:val="-4"/>
                <w:kern w:val="0"/>
                <w:sz w:val="24"/>
              </w:rPr>
              <w:t>内的变压器设备，为了绝缘和冷却的需要，在变压器外壳内装一定量变压器油，发生事故时，将产生一定量的废油，</w:t>
            </w:r>
            <w:r>
              <w:rPr>
                <w:rFonts w:hint="eastAsia" w:ascii="宋体" w:hAnsi="宋体"/>
                <w:sz w:val="24"/>
              </w:rPr>
              <w:t>按照《国家危险废物名录》（</w:t>
            </w:r>
            <w:r>
              <w:rPr>
                <w:rFonts w:ascii="宋体" w:hAnsi="宋体"/>
                <w:sz w:val="24"/>
              </w:rPr>
              <w:t>2016</w:t>
            </w:r>
            <w:r>
              <w:rPr>
                <w:rFonts w:hint="eastAsia" w:ascii="宋体" w:hAnsi="宋体"/>
                <w:sz w:val="24"/>
              </w:rPr>
              <w:t>年），废油属于危险废物，废物类别“</w:t>
            </w:r>
            <w:r>
              <w:rPr>
                <w:rFonts w:ascii="宋体" w:hAnsi="宋体"/>
                <w:sz w:val="24"/>
              </w:rPr>
              <w:t>HW08</w:t>
            </w:r>
            <w:r>
              <w:rPr>
                <w:rFonts w:hint="eastAsia" w:ascii="宋体" w:hAnsi="宋体"/>
                <w:sz w:val="24"/>
              </w:rPr>
              <w:t>废矿物油与含矿物油废物，</w:t>
            </w:r>
            <w:r>
              <w:rPr>
                <w:rFonts w:ascii="宋体" w:hAnsi="宋体"/>
                <w:sz w:val="24"/>
              </w:rPr>
              <w:t>900-220-08</w:t>
            </w:r>
            <w:r>
              <w:rPr>
                <w:rFonts w:hint="eastAsia" w:ascii="宋体" w:hAnsi="宋体"/>
                <w:sz w:val="24"/>
              </w:rPr>
              <w:t>变压器维护、更换和拆解过程中产生的废变压器</w:t>
            </w:r>
            <w:r>
              <w:rPr>
                <w:rFonts w:hint="eastAsia" w:ascii="宋体" w:hAnsi="宋体"/>
                <w:snapToGrid w:val="0"/>
                <w:kern w:val="0"/>
                <w:sz w:val="24"/>
              </w:rPr>
              <w:t>油”。</w:t>
            </w:r>
          </w:p>
          <w:p>
            <w:pPr>
              <w:spacing w:line="360" w:lineRule="auto"/>
              <w:ind w:firstLine="480" w:firstLineChars="200"/>
              <w:rPr>
                <w:rFonts w:hint="eastAsia" w:ascii="宋体" w:hAnsi="宋体"/>
                <w:snapToGrid w:val="0"/>
                <w:kern w:val="0"/>
                <w:sz w:val="24"/>
              </w:rPr>
            </w:pPr>
            <w:r>
              <w:rPr>
                <w:rFonts w:hint="eastAsia" w:ascii="宋体" w:hAnsi="宋体"/>
                <w:snapToGrid w:val="0"/>
                <w:color w:val="auto"/>
                <w:kern w:val="0"/>
                <w:sz w:val="24"/>
              </w:rPr>
              <w:t>本工程变电站内安装主变压器</w:t>
            </w:r>
            <w:r>
              <w:rPr>
                <w:rFonts w:hint="eastAsia" w:ascii="宋体" w:hAnsi="宋体"/>
                <w:snapToGrid w:val="0"/>
                <w:color w:val="auto"/>
                <w:kern w:val="0"/>
                <w:sz w:val="24"/>
                <w:lang w:val="en-US" w:eastAsia="zh-CN"/>
              </w:rPr>
              <w:t>3</w:t>
            </w:r>
            <w:r>
              <w:rPr>
                <w:rFonts w:hint="eastAsia" w:ascii="宋体" w:hAnsi="宋体"/>
                <w:snapToGrid w:val="0"/>
                <w:color w:val="auto"/>
                <w:kern w:val="0"/>
                <w:sz w:val="24"/>
              </w:rPr>
              <w:t>台，主变内部油量均为</w:t>
            </w:r>
            <w:r>
              <w:rPr>
                <w:rFonts w:hint="eastAsia" w:ascii="宋体" w:hAnsi="宋体"/>
                <w:snapToGrid w:val="0"/>
                <w:color w:val="auto"/>
                <w:kern w:val="0"/>
                <w:sz w:val="24"/>
                <w:lang w:val="en-US" w:eastAsia="zh-CN"/>
              </w:rPr>
              <w:t>8.95t</w:t>
            </w:r>
            <w:r>
              <w:rPr>
                <w:rFonts w:hint="eastAsia" w:ascii="宋体" w:hAnsi="宋体"/>
                <w:snapToGrid w:val="0"/>
                <w:color w:val="auto"/>
                <w:kern w:val="0"/>
                <w:sz w:val="24"/>
              </w:rPr>
              <w:t>，折合</w:t>
            </w:r>
            <w:r>
              <w:rPr>
                <w:rFonts w:hint="eastAsia" w:ascii="宋体" w:hAnsi="宋体"/>
                <w:snapToGrid w:val="0"/>
                <w:kern w:val="0"/>
                <w:sz w:val="24"/>
              </w:rPr>
              <w:t>体积为</w:t>
            </w:r>
            <w:r>
              <w:rPr>
                <w:rFonts w:hint="eastAsia" w:ascii="宋体" w:hAnsi="宋体"/>
                <w:snapToGrid w:val="0"/>
                <w:kern w:val="0"/>
                <w:sz w:val="24"/>
                <w:lang w:val="en-US" w:eastAsia="zh-CN"/>
              </w:rPr>
              <w:t>10</w:t>
            </w:r>
            <w:r>
              <w:rPr>
                <w:rFonts w:hint="eastAsia" w:ascii="宋体" w:hAnsi="宋体"/>
                <w:snapToGrid w:val="0"/>
                <w:kern w:val="0"/>
                <w:sz w:val="24"/>
              </w:rPr>
              <w:t>m</w:t>
            </w:r>
            <w:r>
              <w:rPr>
                <w:rFonts w:hint="eastAsia" w:ascii="宋体" w:hAnsi="宋体"/>
                <w:snapToGrid w:val="0"/>
                <w:kern w:val="0"/>
                <w:sz w:val="24"/>
                <w:vertAlign w:val="superscript"/>
              </w:rPr>
              <w:t>3</w:t>
            </w:r>
            <w:r>
              <w:rPr>
                <w:rFonts w:hint="eastAsia" w:ascii="宋体" w:hAnsi="宋体"/>
                <w:snapToGrid w:val="0"/>
                <w:kern w:val="0"/>
                <w:sz w:val="24"/>
              </w:rPr>
              <w:t>（895kg/m</w:t>
            </w:r>
            <w:r>
              <w:rPr>
                <w:rFonts w:hint="eastAsia" w:ascii="宋体" w:hAnsi="宋体"/>
                <w:snapToGrid w:val="0"/>
                <w:kern w:val="0"/>
                <w:sz w:val="24"/>
                <w:vertAlign w:val="superscript"/>
              </w:rPr>
              <w:t>3</w:t>
            </w:r>
            <w:r>
              <w:rPr>
                <w:rFonts w:hint="eastAsia" w:ascii="宋体" w:hAnsi="宋体"/>
                <w:snapToGrid w:val="0"/>
                <w:kern w:val="0"/>
                <w:sz w:val="24"/>
              </w:rPr>
              <w:t>）。每台变压器底部均设计有长方形贮油坑，上覆盖有鹅卵石。贮油坑的有效容积分别约20m</w:t>
            </w:r>
            <w:r>
              <w:rPr>
                <w:rFonts w:hint="eastAsia" w:ascii="宋体" w:hAnsi="宋体"/>
                <w:snapToGrid w:val="0"/>
                <w:kern w:val="0"/>
                <w:sz w:val="24"/>
                <w:vertAlign w:val="superscript"/>
              </w:rPr>
              <w:t>3</w:t>
            </w:r>
            <w:r>
              <w:rPr>
                <w:rFonts w:hint="eastAsia" w:ascii="宋体" w:hAnsi="宋体"/>
                <w:snapToGrid w:val="0"/>
                <w:kern w:val="0"/>
                <w:sz w:val="24"/>
                <w:lang w:eastAsia="zh-CN"/>
              </w:rPr>
              <w:t>，</w:t>
            </w:r>
            <w:r>
              <w:rPr>
                <w:rFonts w:hint="eastAsia" w:ascii="宋体" w:hAnsi="宋体"/>
                <w:snapToGrid w:val="0"/>
                <w:kern w:val="0"/>
                <w:sz w:val="24"/>
                <w:lang w:val="en-US" w:eastAsia="zh-CN"/>
              </w:rPr>
              <w:t>可以满足《35kV～110kV变电站设计规范》（GB50059-2011）中“贮油坑容量不小于单台设备容量的20%”的规定要求。</w:t>
            </w:r>
            <w:r>
              <w:rPr>
                <w:rFonts w:hint="eastAsia" w:ascii="宋体" w:hAnsi="宋体"/>
                <w:snapToGrid w:val="0"/>
                <w:kern w:val="0"/>
                <w:sz w:val="24"/>
              </w:rPr>
              <w:t>可满足《危险废物贮存污染控制标准》（GB18597-2001）及其修改单的要求。</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废油具体处置流程如下：当主变发生漏油事故时，变压器油滴落至贮油坑上的鹅卵石上，进而依靠重力流入贮油坑。变电站为远程控制，当发生漏油事件时，监控系统自动报警，相关人员到达漏油现场后，根据漏油情况，协调危废处置单位派车进入现场，用泵将事故油池和贮油坑内的漏油打入危废单位带来的容器中，同沾油废物一同运至危废处理单位进行处置。</w:t>
            </w:r>
          </w:p>
          <w:p>
            <w:pPr>
              <w:pStyle w:val="2"/>
              <w:spacing w:after="0" w:line="360" w:lineRule="auto"/>
              <w:ind w:firstLine="480" w:firstLineChars="200"/>
              <w:jc w:val="both"/>
              <w:rPr>
                <w:rFonts w:ascii="宋体" w:hAnsi="宋体"/>
                <w:sz w:val="24"/>
              </w:rPr>
            </w:pPr>
            <w:r>
              <w:rPr>
                <w:rFonts w:hint="eastAsia" w:ascii="宋体" w:hAnsi="宋体"/>
                <w:sz w:val="24"/>
                <w:lang w:val="en-US" w:eastAsia="zh-CN"/>
              </w:rPr>
              <w:t>根据建设单位提供的资料</w:t>
            </w:r>
            <w:r>
              <w:rPr>
                <w:rFonts w:hint="eastAsia" w:ascii="宋体" w:hAnsi="宋体" w:eastAsia="宋体" w:cs="Times New Roman"/>
                <w:snapToGrid w:val="0"/>
                <w:kern w:val="0"/>
                <w:sz w:val="24"/>
                <w:szCs w:val="24"/>
                <w:lang w:val="en-US" w:eastAsia="zh-CN" w:bidi="ar-SA"/>
              </w:rPr>
              <w:t>，炼铁鼓风110kV变电站自投运以来尚未产生废变压器</w:t>
            </w:r>
            <w:r>
              <w:rPr>
                <w:rFonts w:hint="eastAsia" w:ascii="宋体" w:hAnsi="宋体"/>
                <w:sz w:val="24"/>
              </w:rPr>
              <w:t>油。建设单位已与具备废变压器油处置资质的单位签订回收处置协议。</w:t>
            </w:r>
          </w:p>
          <w:p>
            <w:pPr>
              <w:tabs>
                <w:tab w:val="right" w:pos="9412"/>
              </w:tabs>
              <w:spacing w:line="360" w:lineRule="auto"/>
              <w:ind w:firstLine="480" w:firstLineChars="200"/>
              <w:rPr>
                <w:rFonts w:ascii="宋体"/>
                <w:sz w:val="24"/>
              </w:rPr>
            </w:pPr>
            <w:r>
              <w:rPr>
                <w:rFonts w:ascii="宋体" w:hAnsi="宋体"/>
                <w:sz w:val="24"/>
              </w:rPr>
              <w:t>3</w:t>
            </w:r>
            <w:r>
              <w:rPr>
                <w:rFonts w:hint="eastAsia" w:ascii="宋体" w:hAnsi="宋体"/>
                <w:sz w:val="24"/>
              </w:rPr>
              <w:t>、废铅酸蓄电池</w:t>
            </w:r>
          </w:p>
          <w:p>
            <w:pPr>
              <w:spacing w:line="360" w:lineRule="auto"/>
              <w:ind w:firstLine="480" w:firstLineChars="200"/>
              <w:rPr>
                <w:rFonts w:hAnsi="宋体"/>
                <w:snapToGrid w:val="0"/>
                <w:kern w:val="0"/>
                <w:sz w:val="24"/>
              </w:rPr>
            </w:pPr>
            <w:r>
              <w:rPr>
                <w:rFonts w:hint="eastAsia"/>
                <w:snapToGrid w:val="0"/>
                <w:kern w:val="0"/>
                <w:sz w:val="24"/>
              </w:rPr>
              <w:t>变电站采用免维护铅酸蓄</w:t>
            </w:r>
            <w:r>
              <w:rPr>
                <w:rFonts w:hint="eastAsia" w:ascii="宋体" w:hAnsi="宋体"/>
                <w:snapToGrid w:val="0"/>
                <w:kern w:val="0"/>
                <w:sz w:val="24"/>
              </w:rPr>
              <w:t>电池，更换频率为</w:t>
            </w:r>
            <w:r>
              <w:rPr>
                <w:rFonts w:ascii="宋体" w:hAnsi="宋体"/>
                <w:snapToGrid w:val="0"/>
                <w:kern w:val="0"/>
                <w:sz w:val="24"/>
              </w:rPr>
              <w:t>6</w:t>
            </w:r>
            <w:r>
              <w:rPr>
                <w:rFonts w:hint="eastAsia" w:ascii="宋体" w:hAnsi="宋体"/>
                <w:snapToGrid w:val="0"/>
                <w:kern w:val="0"/>
                <w:sz w:val="24"/>
              </w:rPr>
              <w:t>～</w:t>
            </w:r>
            <w:r>
              <w:rPr>
                <w:rFonts w:ascii="宋体" w:hAnsi="宋体"/>
                <w:snapToGrid w:val="0"/>
                <w:kern w:val="0"/>
                <w:sz w:val="24"/>
              </w:rPr>
              <w:t>10</w:t>
            </w:r>
            <w:r>
              <w:rPr>
                <w:rFonts w:hint="eastAsia" w:ascii="宋体" w:hAnsi="宋体"/>
                <w:snapToGrid w:val="0"/>
                <w:kern w:val="0"/>
                <w:sz w:val="24"/>
              </w:rPr>
              <w:t>年，即</w:t>
            </w:r>
            <w:r>
              <w:rPr>
                <w:rFonts w:ascii="宋体" w:hAnsi="宋体"/>
                <w:snapToGrid w:val="0"/>
                <w:kern w:val="0"/>
                <w:sz w:val="24"/>
              </w:rPr>
              <w:t>6</w:t>
            </w:r>
            <w:r>
              <w:rPr>
                <w:rFonts w:hint="eastAsia" w:ascii="宋体" w:hAnsi="宋体"/>
                <w:snapToGrid w:val="0"/>
                <w:kern w:val="0"/>
                <w:sz w:val="24"/>
              </w:rPr>
              <w:t>～</w:t>
            </w:r>
            <w:r>
              <w:rPr>
                <w:rFonts w:ascii="宋体" w:hAnsi="宋体"/>
                <w:snapToGrid w:val="0"/>
                <w:kern w:val="0"/>
                <w:sz w:val="24"/>
              </w:rPr>
              <w:t>10</w:t>
            </w:r>
            <w:r>
              <w:rPr>
                <w:rFonts w:hint="eastAsia" w:ascii="宋体" w:hAnsi="宋体"/>
                <w:snapToGrid w:val="0"/>
                <w:kern w:val="0"/>
                <w:sz w:val="24"/>
              </w:rPr>
              <w:t>年产生</w:t>
            </w:r>
            <w:r>
              <w:rPr>
                <w:rFonts w:ascii="宋体" w:hAnsi="宋体"/>
                <w:snapToGrid w:val="0"/>
                <w:kern w:val="0"/>
                <w:sz w:val="24"/>
              </w:rPr>
              <w:t>1</w:t>
            </w:r>
            <w:r>
              <w:rPr>
                <w:rFonts w:hint="eastAsia" w:ascii="宋体" w:hAnsi="宋体"/>
                <w:snapToGrid w:val="0"/>
                <w:kern w:val="0"/>
                <w:sz w:val="24"/>
              </w:rPr>
              <w:t>组废旧铅酸蓄电池</w:t>
            </w:r>
            <w:r>
              <w:rPr>
                <w:rFonts w:hint="eastAsia" w:ascii="宋体" w:hAnsi="宋体"/>
                <w:sz w:val="24"/>
              </w:rPr>
              <w:t>，废旧铅酸蓄电池产生后须由具有相应资质的单位回收处理，避免对环境造成不利影响。</w:t>
            </w:r>
            <w:r>
              <w:rPr>
                <w:rFonts w:hint="eastAsia" w:ascii="宋体" w:hAnsi="宋体"/>
                <w:sz w:val="24"/>
                <w:lang w:val="en-US" w:eastAsia="zh-CN"/>
              </w:rPr>
              <w:t>根据建设单位提供的资料</w:t>
            </w:r>
            <w:r>
              <w:rPr>
                <w:rFonts w:hint="eastAsia" w:ascii="宋体" w:cs="宋体"/>
                <w:kern w:val="0"/>
                <w:sz w:val="24"/>
              </w:rPr>
              <w:t>，</w:t>
            </w:r>
            <w:r>
              <w:rPr>
                <w:rFonts w:hint="eastAsia" w:ascii="宋体" w:hAnsi="宋体"/>
                <w:sz w:val="24"/>
              </w:rPr>
              <w:t>本工程变电站自运行以来尚未产生废旧铅酸蓄电池。</w:t>
            </w:r>
            <w:r>
              <w:rPr>
                <w:rFonts w:hint="eastAsia" w:ascii="宋体" w:cs="宋体"/>
                <w:kern w:val="0"/>
                <w:sz w:val="24"/>
              </w:rPr>
              <w:t>建设单位已与具备</w:t>
            </w:r>
            <w:r>
              <w:rPr>
                <w:rFonts w:hint="eastAsia" w:ascii="宋体" w:hAnsi="宋体"/>
                <w:sz w:val="24"/>
              </w:rPr>
              <w:t>废旧铅酸蓄电池</w:t>
            </w:r>
            <w:r>
              <w:rPr>
                <w:rFonts w:hint="eastAsia" w:ascii="宋体" w:cs="宋体"/>
                <w:kern w:val="0"/>
                <w:sz w:val="24"/>
              </w:rPr>
              <w:t>处置资质的单位签订回收处置协议。</w:t>
            </w:r>
          </w:p>
          <w:p>
            <w:pPr>
              <w:pStyle w:val="10"/>
              <w:spacing w:line="360" w:lineRule="auto"/>
              <w:rPr>
                <w:rFonts w:ascii="黑体" w:hAnsi="Times New Roman" w:eastAsia="黑体"/>
                <w:snapToGrid w:val="0"/>
                <w:kern w:val="0"/>
                <w:sz w:val="24"/>
                <w:szCs w:val="24"/>
              </w:rPr>
            </w:pPr>
            <w:r>
              <w:rPr>
                <w:rFonts w:ascii="黑体" w:hAnsi="Times New Roman" w:eastAsia="黑体"/>
                <w:snapToGrid w:val="0"/>
                <w:kern w:val="0"/>
                <w:sz w:val="24"/>
                <w:szCs w:val="24"/>
              </w:rPr>
              <w:t xml:space="preserve">7.2.5 </w:t>
            </w:r>
            <w:r>
              <w:rPr>
                <w:rFonts w:hint="eastAsia" w:ascii="黑体" w:hAnsi="Times New Roman" w:eastAsia="黑体"/>
                <w:snapToGrid w:val="0"/>
                <w:kern w:val="0"/>
                <w:sz w:val="24"/>
                <w:szCs w:val="24"/>
              </w:rPr>
              <w:t>生态环境影响分析</w:t>
            </w:r>
          </w:p>
          <w:p>
            <w:pPr>
              <w:spacing w:line="360" w:lineRule="auto"/>
              <w:ind w:firstLine="480" w:firstLineChars="200"/>
              <w:rPr>
                <w:rFonts w:ascii="宋体" w:hAnsi="宋体"/>
                <w:sz w:val="24"/>
              </w:rPr>
            </w:pPr>
            <w:r>
              <w:rPr>
                <w:rFonts w:hint="eastAsia" w:ascii="宋体" w:hAnsi="宋体"/>
                <w:sz w:val="24"/>
              </w:rPr>
              <w:t>本工程变电站已建成投运，站内已进行土地固化处理，在多年运行过程中对周围生态环境影响较小。</w:t>
            </w:r>
          </w:p>
          <w:p>
            <w:pPr>
              <w:spacing w:line="360" w:lineRule="auto"/>
              <w:ind w:firstLine="480" w:firstLineChars="200"/>
              <w:rPr>
                <w:rFonts w:ascii="宋体" w:hAnsi="宋体"/>
                <w:sz w:val="24"/>
              </w:rPr>
            </w:pPr>
            <w:r>
              <w:rPr>
                <w:rFonts w:hint="eastAsia" w:ascii="宋体" w:hAnsi="宋体"/>
                <w:sz w:val="24"/>
              </w:rPr>
              <w:t>输电线路（空中电缆</w:t>
            </w:r>
            <w:r>
              <w:rPr>
                <w:rFonts w:hint="eastAsia" w:ascii="宋体" w:hAnsi="宋体"/>
                <w:sz w:val="24"/>
                <w:lang w:val="en-US" w:eastAsia="zh-CN"/>
              </w:rPr>
              <w:t>通</w:t>
            </w:r>
            <w:r>
              <w:rPr>
                <w:rFonts w:hint="eastAsia" w:ascii="宋体" w:hAnsi="宋体"/>
                <w:sz w:val="24"/>
              </w:rPr>
              <w:t>廊）全部位于青岛特钢厂区内，对周围生态环境影响较小。</w:t>
            </w:r>
          </w:p>
          <w:p>
            <w:pPr>
              <w:spacing w:line="360" w:lineRule="auto"/>
              <w:rPr>
                <w:rFonts w:ascii="黑体" w:eastAsia="黑体"/>
                <w:snapToGrid w:val="0"/>
                <w:kern w:val="0"/>
                <w:sz w:val="28"/>
                <w:szCs w:val="28"/>
              </w:rPr>
            </w:pPr>
            <w:r>
              <w:rPr>
                <w:rFonts w:ascii="黑体" w:eastAsia="黑体"/>
                <w:snapToGrid w:val="0"/>
                <w:kern w:val="0"/>
                <w:sz w:val="28"/>
                <w:szCs w:val="28"/>
              </w:rPr>
              <w:t>7.3</w:t>
            </w:r>
            <w:r>
              <w:rPr>
                <w:rFonts w:hint="eastAsia" w:ascii="黑体" w:eastAsia="黑体"/>
                <w:snapToGrid w:val="0"/>
                <w:kern w:val="0"/>
                <w:sz w:val="28"/>
                <w:szCs w:val="28"/>
              </w:rPr>
              <w:t xml:space="preserve"> 环境风险分析</w:t>
            </w:r>
          </w:p>
          <w:p>
            <w:pPr>
              <w:tabs>
                <w:tab w:val="right" w:pos="9412"/>
              </w:tabs>
              <w:spacing w:line="360" w:lineRule="auto"/>
              <w:ind w:firstLine="482" w:firstLineChars="200"/>
              <w:rPr>
                <w:rFonts w:ascii="宋体"/>
                <w:b/>
                <w:sz w:val="24"/>
              </w:rPr>
            </w:pPr>
            <w:r>
              <w:rPr>
                <w:rFonts w:hint="eastAsia" w:ascii="宋体" w:hAnsi="宋体"/>
                <w:b/>
                <w:sz w:val="24"/>
                <w:lang w:val="en-US" w:eastAsia="zh-CN"/>
              </w:rPr>
              <w:t>1</w:t>
            </w:r>
            <w:r>
              <w:rPr>
                <w:rFonts w:ascii="宋体" w:hAnsi="宋体"/>
                <w:b/>
                <w:sz w:val="24"/>
              </w:rPr>
              <w:t>.</w:t>
            </w:r>
            <w:r>
              <w:rPr>
                <w:rFonts w:hint="eastAsia" w:ascii="宋体" w:hAnsi="宋体"/>
                <w:b/>
                <w:sz w:val="24"/>
              </w:rPr>
              <w:t>变压器事故漏油分析及防范措施</w:t>
            </w:r>
          </w:p>
          <w:p>
            <w:pPr>
              <w:tabs>
                <w:tab w:val="right" w:pos="9412"/>
              </w:tabs>
              <w:spacing w:line="360" w:lineRule="auto"/>
              <w:ind w:firstLine="480" w:firstLineChars="200"/>
              <w:rPr>
                <w:rFonts w:ascii="宋体"/>
                <w:sz w:val="24"/>
              </w:rPr>
            </w:pPr>
            <w:r>
              <w:rPr>
                <w:rFonts w:hint="eastAsia" w:ascii="宋体" w:hAnsi="宋体"/>
                <w:sz w:val="24"/>
              </w:rPr>
              <w:t>变压器事故油是一种含烷烃、环烷族饱和烃、芳香族不饱和烃等化合物的矿物油，当变压器本体发生事故时，可能导致油泄漏。按照《国家危险废物名录》（</w:t>
            </w:r>
            <w:r>
              <w:rPr>
                <w:rFonts w:ascii="宋体" w:cs="宋体"/>
                <w:kern w:val="0"/>
                <w:sz w:val="24"/>
              </w:rPr>
              <w:t>2016</w:t>
            </w:r>
            <w:r>
              <w:rPr>
                <w:rFonts w:hint="eastAsia" w:ascii="宋体" w:cs="宋体"/>
                <w:kern w:val="0"/>
                <w:sz w:val="24"/>
              </w:rPr>
              <w:t>年</w:t>
            </w:r>
            <w:r>
              <w:rPr>
                <w:rFonts w:hint="eastAsia" w:ascii="宋体" w:hAnsi="宋体"/>
                <w:sz w:val="24"/>
              </w:rPr>
              <w:t>），变压器事故油属危险废物，废物类别</w:t>
            </w:r>
            <w:r>
              <w:rPr>
                <w:rFonts w:ascii="宋体" w:hAnsi="宋体"/>
                <w:sz w:val="24"/>
              </w:rPr>
              <w:t>HW08</w:t>
            </w:r>
            <w:r>
              <w:rPr>
                <w:rFonts w:hint="eastAsia" w:ascii="宋体" w:hAnsi="宋体"/>
                <w:sz w:val="24"/>
              </w:rPr>
              <w:t>。</w:t>
            </w:r>
          </w:p>
          <w:p>
            <w:pPr>
              <w:tabs>
                <w:tab w:val="right" w:pos="9412"/>
              </w:tabs>
              <w:spacing w:line="360" w:lineRule="auto"/>
              <w:ind w:firstLine="480" w:firstLineChars="200"/>
              <w:rPr>
                <w:rFonts w:ascii="宋体"/>
                <w:sz w:val="24"/>
              </w:rPr>
            </w:pPr>
            <w:r>
              <w:rPr>
                <w:rFonts w:hint="eastAsia" w:ascii="宋体" w:hAnsi="宋体"/>
                <w:sz w:val="24"/>
              </w:rPr>
              <w:t>废油临时贮存按照《危险废物贮存污染控制标准》（</w:t>
            </w:r>
            <w:r>
              <w:rPr>
                <w:rFonts w:ascii="宋体" w:hAnsi="宋体"/>
                <w:sz w:val="24"/>
              </w:rPr>
              <w:t>GB18597-2001</w:t>
            </w:r>
            <w:r>
              <w:rPr>
                <w:rFonts w:hint="eastAsia" w:ascii="宋体" w:hAnsi="宋体"/>
                <w:sz w:val="24"/>
              </w:rPr>
              <w:t>）要求设置贮油坑，并对其进行防渗处理。</w:t>
            </w:r>
          </w:p>
          <w:p>
            <w:pPr>
              <w:tabs>
                <w:tab w:val="right" w:pos="9412"/>
              </w:tabs>
              <w:spacing w:line="360" w:lineRule="auto"/>
              <w:ind w:firstLine="480" w:firstLineChars="200"/>
              <w:rPr>
                <w:rFonts w:ascii="宋体"/>
                <w:sz w:val="24"/>
              </w:rPr>
            </w:pPr>
            <w:r>
              <w:rPr>
                <w:rFonts w:hint="eastAsia" w:ascii="宋体" w:hAnsi="宋体"/>
                <w:sz w:val="24"/>
              </w:rPr>
              <w:t>变压器在发生事故时壳体内的油排入贮油坑临时贮存，最终由有资质的单位回收处理，不外排，</w:t>
            </w:r>
            <w:r>
              <w:rPr>
                <w:rFonts w:hint="eastAsia" w:ascii="宋体" w:hAnsi="宋体"/>
                <w:snapToGrid w:val="0"/>
                <w:kern w:val="0"/>
                <w:sz w:val="24"/>
              </w:rPr>
              <w:t>避免对当地水环境、土壤环境造成不利影响</w:t>
            </w:r>
            <w:r>
              <w:rPr>
                <w:rFonts w:hint="eastAsia" w:ascii="宋体" w:hAnsi="宋体"/>
                <w:sz w:val="24"/>
              </w:rPr>
              <w:t>。</w:t>
            </w:r>
          </w:p>
          <w:p>
            <w:pPr>
              <w:tabs>
                <w:tab w:val="right" w:pos="9412"/>
              </w:tabs>
              <w:spacing w:line="360" w:lineRule="auto"/>
              <w:ind w:firstLine="480" w:firstLineChars="200"/>
              <w:rPr>
                <w:rFonts w:ascii="宋体" w:hAnsi="宋体" w:cs="宋体"/>
                <w:kern w:val="0"/>
                <w:sz w:val="24"/>
              </w:rPr>
            </w:pPr>
            <w:r>
              <w:rPr>
                <w:rFonts w:hint="eastAsia" w:ascii="宋体" w:hAnsi="宋体" w:cs="宋体"/>
                <w:kern w:val="0"/>
                <w:sz w:val="24"/>
              </w:rPr>
              <w:t>多年运行数据表明，变压器故障发生油泄漏的概率非常小。</w:t>
            </w:r>
          </w:p>
          <w:p>
            <w:pPr>
              <w:tabs>
                <w:tab w:val="right" w:pos="9412"/>
              </w:tabs>
              <w:spacing w:line="360" w:lineRule="auto"/>
              <w:ind w:firstLine="482" w:firstLineChars="200"/>
              <w:rPr>
                <w:rFonts w:ascii="宋体"/>
                <w:b/>
                <w:sz w:val="24"/>
              </w:rPr>
            </w:pPr>
            <w:r>
              <w:rPr>
                <w:rFonts w:hint="eastAsia" w:ascii="宋体" w:hAnsi="宋体"/>
                <w:b/>
                <w:sz w:val="24"/>
                <w:lang w:val="en-US" w:eastAsia="zh-CN"/>
              </w:rPr>
              <w:t>2</w:t>
            </w:r>
            <w:r>
              <w:rPr>
                <w:rFonts w:ascii="宋体" w:hAnsi="宋体"/>
                <w:b/>
                <w:sz w:val="24"/>
              </w:rPr>
              <w:t>.</w:t>
            </w:r>
            <w:r>
              <w:rPr>
                <w:rFonts w:hint="eastAsia" w:ascii="宋体" w:hAnsi="宋体"/>
                <w:b/>
                <w:sz w:val="24"/>
              </w:rPr>
              <w:t>废旧铅酸蓄电池风险分析及防范措施</w:t>
            </w:r>
          </w:p>
          <w:p>
            <w:pPr>
              <w:tabs>
                <w:tab w:val="right" w:pos="9412"/>
              </w:tabs>
              <w:spacing w:line="360" w:lineRule="auto"/>
              <w:ind w:firstLine="480" w:firstLineChars="200"/>
              <w:rPr>
                <w:rFonts w:ascii="宋体" w:cs="宋体"/>
                <w:kern w:val="0"/>
                <w:sz w:val="24"/>
              </w:rPr>
            </w:pPr>
            <w:r>
              <w:rPr>
                <w:rFonts w:hint="eastAsia" w:ascii="宋体" w:hAnsi="宋体"/>
                <w:sz w:val="24"/>
              </w:rPr>
              <w:t>按照《国家危险废物名录》（</w:t>
            </w:r>
            <w:r>
              <w:rPr>
                <w:rFonts w:ascii="宋体" w:cs="宋体"/>
                <w:kern w:val="0"/>
                <w:sz w:val="24"/>
              </w:rPr>
              <w:t>2016</w:t>
            </w:r>
            <w:r>
              <w:rPr>
                <w:rFonts w:hint="eastAsia" w:ascii="宋体" w:cs="宋体"/>
                <w:kern w:val="0"/>
                <w:sz w:val="24"/>
              </w:rPr>
              <w:t>年</w:t>
            </w:r>
            <w:r>
              <w:rPr>
                <w:rFonts w:hint="eastAsia" w:ascii="宋体" w:hAnsi="宋体"/>
                <w:sz w:val="24"/>
              </w:rPr>
              <w:t>），</w:t>
            </w:r>
            <w:r>
              <w:rPr>
                <w:rFonts w:hint="eastAsia" w:ascii="宋体" w:hAnsi="宋体" w:cs="宋体"/>
                <w:kern w:val="0"/>
                <w:sz w:val="24"/>
              </w:rPr>
              <w:t>废旧铅酸蓄电池</w:t>
            </w:r>
            <w:r>
              <w:rPr>
                <w:rFonts w:hint="eastAsia" w:ascii="宋体" w:hAnsi="宋体"/>
                <w:sz w:val="24"/>
              </w:rPr>
              <w:t>属危险废物，废物类别</w:t>
            </w:r>
            <w:r>
              <w:rPr>
                <w:rFonts w:ascii="宋体" w:hAnsi="宋体"/>
                <w:sz w:val="24"/>
              </w:rPr>
              <w:t>HW49</w:t>
            </w:r>
            <w:r>
              <w:rPr>
                <w:rFonts w:hint="eastAsia" w:ascii="宋体" w:hAnsi="宋体"/>
                <w:sz w:val="24"/>
              </w:rPr>
              <w:t>。因此</w:t>
            </w:r>
            <w:r>
              <w:rPr>
                <w:rFonts w:hint="eastAsia" w:ascii="宋体" w:hAnsi="宋体" w:cs="宋体"/>
                <w:kern w:val="0"/>
                <w:sz w:val="24"/>
              </w:rPr>
              <w:t>废旧铅酸蓄电池从变电站退运后，如不进行妥善处置，可能造成环境污染。</w:t>
            </w:r>
          </w:p>
          <w:p>
            <w:pPr>
              <w:tabs>
                <w:tab w:val="right" w:pos="9412"/>
              </w:tabs>
              <w:spacing w:line="360" w:lineRule="auto"/>
              <w:ind w:firstLine="480" w:firstLineChars="200"/>
              <w:contextualSpacing/>
              <w:rPr>
                <w:rFonts w:ascii="宋体" w:cs="宋体"/>
                <w:kern w:val="0"/>
                <w:sz w:val="24"/>
              </w:rPr>
            </w:pPr>
            <w:r>
              <w:rPr>
                <w:rFonts w:hint="eastAsia" w:ascii="宋体" w:hAnsi="宋体"/>
                <w:sz w:val="24"/>
              </w:rPr>
              <w:t>本工程</w:t>
            </w:r>
            <w:r>
              <w:rPr>
                <w:rFonts w:hint="eastAsia" w:ascii="宋体" w:hAnsi="宋体" w:cs="宋体"/>
                <w:kern w:val="0"/>
                <w:sz w:val="24"/>
              </w:rPr>
              <w:t>废旧铅酸蓄电池退运后，按照《废铅酸蓄电池处理污染控制技术规范》（</w:t>
            </w:r>
            <w:r>
              <w:rPr>
                <w:rFonts w:ascii="宋体" w:hAnsi="宋体" w:cs="宋体"/>
                <w:kern w:val="0"/>
                <w:sz w:val="24"/>
              </w:rPr>
              <w:t>HJ519-2009</w:t>
            </w:r>
            <w:r>
              <w:rPr>
                <w:rFonts w:hint="eastAsia" w:ascii="宋体" w:hAnsi="宋体" w:cs="宋体"/>
                <w:kern w:val="0"/>
                <w:sz w:val="24"/>
              </w:rPr>
              <w:t>）</w:t>
            </w:r>
            <w:r>
              <w:rPr>
                <w:rFonts w:hint="eastAsia" w:hAnsi="宋体" w:cs="宋体"/>
                <w:sz w:val="24"/>
              </w:rPr>
              <w:t>委托有资质单位进行规范处置，</w:t>
            </w:r>
            <w:r>
              <w:rPr>
                <w:rFonts w:hint="eastAsia" w:ascii="宋体" w:hAnsi="宋体"/>
                <w:snapToGrid w:val="0"/>
                <w:kern w:val="0"/>
                <w:sz w:val="24"/>
              </w:rPr>
              <w:t>避免对当地水环境、土壤环境造成不利影响。</w:t>
            </w:r>
          </w:p>
          <w:p>
            <w:pPr>
              <w:adjustRightInd w:val="0"/>
              <w:spacing w:line="360" w:lineRule="auto"/>
              <w:ind w:firstLine="470" w:firstLineChars="196"/>
              <w:contextualSpacing/>
              <w:outlineLvl w:val="1"/>
              <w:rPr>
                <w:snapToGrid w:val="0"/>
                <w:kern w:val="0"/>
                <w:sz w:val="24"/>
              </w:rPr>
            </w:pPr>
            <w:r>
              <w:rPr>
                <w:rFonts w:hint="eastAsia"/>
                <w:snapToGrid w:val="0"/>
                <w:kern w:val="0"/>
                <w:sz w:val="24"/>
              </w:rPr>
              <w:t>针对以上可能发生的环境风险，在与有资质单位签订废变压器油和废旧铅酸蓄电池回收处置协议后，建设单位制订的防范措施可将风险事故降到较低的水平。本次评价要求定期对变电站进行巡检，发现问题时应及时处理，确保自动保护系统、消防系统、通风系统及事故油池等风险防范措施均能够正常运行。</w:t>
            </w:r>
          </w:p>
          <w:p>
            <w:pPr>
              <w:adjustRightInd w:val="0"/>
              <w:spacing w:line="360" w:lineRule="auto"/>
              <w:ind w:firstLine="470" w:firstLineChars="196"/>
              <w:outlineLvl w:val="1"/>
              <w:rPr>
                <w:b w:val="0"/>
                <w:bCs/>
                <w:snapToGrid w:val="0"/>
                <w:kern w:val="0"/>
                <w:sz w:val="24"/>
              </w:rPr>
            </w:pPr>
            <w:r>
              <w:rPr>
                <w:rFonts w:hint="eastAsia"/>
                <w:b w:val="0"/>
                <w:bCs/>
                <w:snapToGrid w:val="0"/>
                <w:kern w:val="0"/>
                <w:sz w:val="24"/>
              </w:rPr>
              <w:t>综上所述，在严格执行相关风险防范措施及危废处置措施的情况下，本项目的环境风险影响可以接受。经调查，</w:t>
            </w:r>
            <w:r>
              <w:rPr>
                <w:rFonts w:hint="eastAsia"/>
                <w:b w:val="0"/>
                <w:bCs/>
                <w:snapToGrid w:val="0"/>
                <w:kern w:val="0"/>
                <w:sz w:val="24"/>
                <w:lang w:val="en-US" w:eastAsia="zh-CN"/>
              </w:rPr>
              <w:t>炼铁鼓风110kV变电站</w:t>
            </w:r>
            <w:r>
              <w:rPr>
                <w:rFonts w:hint="eastAsia"/>
                <w:b w:val="0"/>
                <w:bCs/>
                <w:snapToGrid w:val="0"/>
                <w:kern w:val="0"/>
                <w:sz w:val="24"/>
              </w:rPr>
              <w:t>自投运以外，未发生过重大风险事故。</w:t>
            </w:r>
          </w:p>
          <w:p>
            <w:pPr>
              <w:adjustRightInd w:val="0"/>
              <w:spacing w:line="360" w:lineRule="auto"/>
              <w:ind w:firstLine="472" w:firstLineChars="196"/>
              <w:outlineLvl w:val="1"/>
              <w:rPr>
                <w:b/>
                <w:snapToGrid w:val="0"/>
                <w:kern w:val="0"/>
                <w:sz w:val="24"/>
              </w:rPr>
            </w:pPr>
          </w:p>
          <w:p>
            <w:pPr>
              <w:adjustRightInd w:val="0"/>
              <w:spacing w:line="360" w:lineRule="auto"/>
              <w:ind w:firstLine="472" w:firstLineChars="196"/>
              <w:outlineLvl w:val="1"/>
              <w:rPr>
                <w:b/>
                <w:snapToGrid w:val="0"/>
                <w:kern w:val="0"/>
                <w:sz w:val="24"/>
              </w:rPr>
            </w:pPr>
          </w:p>
          <w:p>
            <w:pPr>
              <w:pStyle w:val="2"/>
              <w:rPr>
                <w:b/>
                <w:snapToGrid w:val="0"/>
                <w:kern w:val="0"/>
                <w:sz w:val="24"/>
              </w:rPr>
            </w:pPr>
          </w:p>
          <w:p>
            <w:pPr>
              <w:pStyle w:val="2"/>
              <w:rPr>
                <w:b/>
                <w:snapToGrid w:val="0"/>
                <w:kern w:val="0"/>
                <w:sz w:val="24"/>
              </w:rPr>
            </w:pPr>
          </w:p>
          <w:p>
            <w:pPr>
              <w:pStyle w:val="2"/>
              <w:rPr>
                <w:b/>
                <w:snapToGrid w:val="0"/>
                <w:kern w:val="0"/>
                <w:sz w:val="24"/>
              </w:rPr>
            </w:pPr>
          </w:p>
          <w:p>
            <w:pPr>
              <w:adjustRightInd w:val="0"/>
              <w:spacing w:line="360" w:lineRule="auto"/>
              <w:ind w:firstLine="472" w:firstLineChars="196"/>
              <w:outlineLvl w:val="1"/>
              <w:rPr>
                <w:b/>
                <w:snapToGrid w:val="0"/>
                <w:kern w:val="0"/>
                <w:sz w:val="24"/>
              </w:rPr>
            </w:pPr>
          </w:p>
          <w:p>
            <w:pPr>
              <w:adjustRightInd w:val="0"/>
              <w:spacing w:line="360" w:lineRule="auto"/>
              <w:ind w:firstLine="472" w:firstLineChars="196"/>
              <w:outlineLvl w:val="1"/>
              <w:rPr>
                <w:b/>
                <w:snapToGrid w:val="0"/>
                <w:kern w:val="0"/>
                <w:sz w:val="24"/>
              </w:rPr>
            </w:pPr>
          </w:p>
          <w:p>
            <w:pPr>
              <w:adjustRightInd w:val="0"/>
              <w:spacing w:line="360" w:lineRule="auto"/>
              <w:outlineLvl w:val="1"/>
              <w:rPr>
                <w:b/>
                <w:snapToGrid w:val="0"/>
                <w:kern w:val="0"/>
                <w:sz w:val="24"/>
              </w:rPr>
            </w:pPr>
          </w:p>
          <w:p>
            <w:pPr>
              <w:adjustRightInd w:val="0"/>
              <w:spacing w:line="360" w:lineRule="auto"/>
              <w:outlineLvl w:val="1"/>
              <w:rPr>
                <w:b/>
                <w:snapToGrid w:val="0"/>
                <w:kern w:val="0"/>
                <w:sz w:val="24"/>
              </w:rPr>
            </w:pPr>
          </w:p>
        </w:tc>
      </w:tr>
    </w:tbl>
    <w:p>
      <w:pPr>
        <w:spacing w:before="936" w:beforeLines="300"/>
        <w:rPr>
          <w:rFonts w:ascii="黑体" w:eastAsia="黑体"/>
          <w:bCs/>
          <w:sz w:val="28"/>
          <w:szCs w:val="28"/>
        </w:rPr>
      </w:pPr>
      <w:r>
        <w:rPr>
          <w:rFonts w:ascii="黑体" w:eastAsia="黑体"/>
          <w:bCs/>
          <w:sz w:val="28"/>
          <w:szCs w:val="28"/>
        </w:rPr>
        <w:t xml:space="preserve">8 </w:t>
      </w:r>
      <w:r>
        <w:rPr>
          <w:rFonts w:hint="eastAsia" w:ascii="黑体" w:eastAsia="黑体"/>
          <w:bCs/>
          <w:sz w:val="28"/>
          <w:szCs w:val="28"/>
        </w:rPr>
        <w:t>建设项目采取的防治措施及治理效果</w:t>
      </w:r>
    </w:p>
    <w:tbl>
      <w:tblPr>
        <w:tblStyle w:val="22"/>
        <w:tblW w:w="966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22"/>
        <w:gridCol w:w="2068"/>
        <w:gridCol w:w="1427"/>
        <w:gridCol w:w="3109"/>
        <w:gridCol w:w="17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tcBorders>
              <w:tl2br w:val="single" w:color="auto" w:sz="4" w:space="0"/>
            </w:tcBorders>
            <w:vAlign w:val="center"/>
          </w:tcPr>
          <w:p>
            <w:pPr>
              <w:jc w:val="center"/>
              <w:rPr>
                <w:rFonts w:ascii="宋体"/>
                <w:szCs w:val="21"/>
              </w:rPr>
            </w:pPr>
            <w:bookmarkStart w:id="6" w:name="_Hlk529098842"/>
            <w:r>
              <w:rPr>
                <w:rFonts w:ascii="宋体" w:hAnsi="宋体"/>
                <w:szCs w:val="21"/>
              </w:rPr>
              <w:t xml:space="preserve">   </w:t>
            </w:r>
            <w:r>
              <w:rPr>
                <w:rFonts w:hint="eastAsia" w:ascii="宋体" w:hAnsi="宋体"/>
                <w:szCs w:val="21"/>
              </w:rPr>
              <w:t>内容</w:t>
            </w:r>
          </w:p>
          <w:p>
            <w:pPr>
              <w:rPr>
                <w:rFonts w:ascii="宋体"/>
                <w:szCs w:val="21"/>
              </w:rPr>
            </w:pPr>
            <w:r>
              <w:rPr>
                <w:rFonts w:hint="eastAsia" w:ascii="宋体" w:hAnsi="宋体"/>
                <w:szCs w:val="21"/>
              </w:rPr>
              <w:t>类型</w:t>
            </w:r>
          </w:p>
        </w:tc>
        <w:tc>
          <w:tcPr>
            <w:tcW w:w="2068" w:type="dxa"/>
            <w:vAlign w:val="center"/>
          </w:tcPr>
          <w:p>
            <w:pPr>
              <w:jc w:val="center"/>
              <w:rPr>
                <w:rFonts w:ascii="宋体"/>
                <w:szCs w:val="21"/>
              </w:rPr>
            </w:pPr>
            <w:r>
              <w:rPr>
                <w:rFonts w:hint="eastAsia" w:ascii="宋体" w:hAnsi="宋体"/>
                <w:szCs w:val="21"/>
              </w:rPr>
              <w:t>排放源</w:t>
            </w:r>
          </w:p>
        </w:tc>
        <w:tc>
          <w:tcPr>
            <w:tcW w:w="1427" w:type="dxa"/>
            <w:vAlign w:val="center"/>
          </w:tcPr>
          <w:p>
            <w:pPr>
              <w:jc w:val="center"/>
              <w:rPr>
                <w:rFonts w:ascii="宋体"/>
                <w:szCs w:val="21"/>
              </w:rPr>
            </w:pPr>
            <w:r>
              <w:rPr>
                <w:rFonts w:hint="eastAsia" w:ascii="宋体" w:hAnsi="宋体"/>
                <w:szCs w:val="21"/>
              </w:rPr>
              <w:t>污染物名称</w:t>
            </w:r>
          </w:p>
        </w:tc>
        <w:tc>
          <w:tcPr>
            <w:tcW w:w="3109" w:type="dxa"/>
            <w:vAlign w:val="center"/>
          </w:tcPr>
          <w:p>
            <w:pPr>
              <w:jc w:val="center"/>
              <w:rPr>
                <w:rFonts w:ascii="宋体"/>
                <w:szCs w:val="21"/>
              </w:rPr>
            </w:pPr>
            <w:r>
              <w:rPr>
                <w:rFonts w:hint="eastAsia" w:ascii="宋体" w:hAnsi="宋体"/>
                <w:szCs w:val="21"/>
              </w:rPr>
              <w:t>防治措施</w:t>
            </w:r>
          </w:p>
        </w:tc>
        <w:tc>
          <w:tcPr>
            <w:tcW w:w="1743" w:type="dxa"/>
            <w:vAlign w:val="center"/>
          </w:tcPr>
          <w:p>
            <w:pPr>
              <w:jc w:val="center"/>
              <w:rPr>
                <w:rFonts w:ascii="宋体"/>
                <w:szCs w:val="21"/>
              </w:rPr>
            </w:pPr>
            <w:r>
              <w:rPr>
                <w:rFonts w:hint="eastAsia" w:ascii="宋体" w:hAnsi="宋体"/>
                <w:szCs w:val="21"/>
              </w:rPr>
              <w:t>预期防治效果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Align w:val="center"/>
          </w:tcPr>
          <w:p>
            <w:pPr>
              <w:spacing w:line="320" w:lineRule="exact"/>
              <w:jc w:val="center"/>
              <w:rPr>
                <w:rFonts w:ascii="宋体"/>
                <w:szCs w:val="21"/>
              </w:rPr>
            </w:pPr>
            <w:r>
              <w:rPr>
                <w:rFonts w:hint="eastAsia" w:ascii="宋体" w:hAnsi="宋体"/>
                <w:szCs w:val="21"/>
              </w:rPr>
              <w:t>大气</w:t>
            </w:r>
          </w:p>
          <w:p>
            <w:pPr>
              <w:spacing w:line="320" w:lineRule="exact"/>
              <w:jc w:val="center"/>
              <w:rPr>
                <w:rFonts w:ascii="宋体"/>
                <w:szCs w:val="21"/>
              </w:rPr>
            </w:pPr>
            <w:r>
              <w:rPr>
                <w:rFonts w:hint="eastAsia" w:ascii="宋体" w:hAnsi="宋体"/>
                <w:szCs w:val="21"/>
              </w:rPr>
              <w:t>污染物</w:t>
            </w:r>
          </w:p>
        </w:tc>
        <w:tc>
          <w:tcPr>
            <w:tcW w:w="2068" w:type="dxa"/>
            <w:vAlign w:val="center"/>
          </w:tcPr>
          <w:p>
            <w:pPr>
              <w:pStyle w:val="105"/>
              <w:ind w:firstLineChars="0"/>
              <w:rPr>
                <w:rFonts w:ascii="宋体" w:hAnsi="宋体" w:eastAsia="宋体"/>
                <w:sz w:val="21"/>
                <w:szCs w:val="21"/>
              </w:rPr>
            </w:pPr>
            <w:r>
              <w:rPr>
                <w:rFonts w:ascii="宋体" w:hAnsi="宋体" w:eastAsia="宋体"/>
                <w:sz w:val="21"/>
                <w:szCs w:val="21"/>
              </w:rPr>
              <w:t>/</w:t>
            </w:r>
          </w:p>
        </w:tc>
        <w:tc>
          <w:tcPr>
            <w:tcW w:w="1427" w:type="dxa"/>
            <w:vAlign w:val="center"/>
          </w:tcPr>
          <w:p>
            <w:pPr>
              <w:pStyle w:val="105"/>
              <w:spacing w:before="0" w:after="0" w:line="360" w:lineRule="exact"/>
              <w:ind w:firstLineChars="0"/>
              <w:rPr>
                <w:rFonts w:ascii="宋体" w:hAnsi="宋体" w:eastAsia="宋体"/>
                <w:sz w:val="21"/>
                <w:szCs w:val="21"/>
              </w:rPr>
            </w:pPr>
            <w:r>
              <w:rPr>
                <w:rFonts w:ascii="宋体" w:hAnsi="宋体" w:eastAsia="宋体"/>
                <w:sz w:val="21"/>
                <w:szCs w:val="21"/>
              </w:rPr>
              <w:t>/</w:t>
            </w:r>
          </w:p>
        </w:tc>
        <w:tc>
          <w:tcPr>
            <w:tcW w:w="3109" w:type="dxa"/>
            <w:vAlign w:val="center"/>
          </w:tcPr>
          <w:p>
            <w:pPr>
              <w:pStyle w:val="73"/>
              <w:jc w:val="center"/>
              <w:rPr>
                <w:rFonts w:ascii="宋体"/>
                <w:szCs w:val="21"/>
              </w:rPr>
            </w:pPr>
            <w:r>
              <w:rPr>
                <w:rFonts w:ascii="宋体" w:hAnsi="宋体"/>
                <w:szCs w:val="21"/>
              </w:rPr>
              <w:t>/</w:t>
            </w:r>
          </w:p>
        </w:tc>
        <w:tc>
          <w:tcPr>
            <w:tcW w:w="1743" w:type="dxa"/>
            <w:vAlign w:val="center"/>
          </w:tcPr>
          <w:p>
            <w:pPr>
              <w:pStyle w:val="73"/>
              <w:jc w:val="center"/>
              <w:rPr>
                <w:rFonts w:ascii="宋体"/>
                <w:szCs w:val="21"/>
              </w:rPr>
            </w:pPr>
            <w:r>
              <w:rPr>
                <w:rFonts w:ascii="宋体" w:hAns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Align w:val="center"/>
          </w:tcPr>
          <w:p>
            <w:pPr>
              <w:spacing w:line="320" w:lineRule="exact"/>
              <w:jc w:val="center"/>
              <w:rPr>
                <w:rFonts w:ascii="宋体"/>
                <w:szCs w:val="21"/>
              </w:rPr>
            </w:pPr>
            <w:r>
              <w:rPr>
                <w:rFonts w:hint="eastAsia" w:ascii="宋体" w:hAnsi="宋体"/>
                <w:szCs w:val="21"/>
              </w:rPr>
              <w:t>水污染物</w:t>
            </w:r>
          </w:p>
        </w:tc>
        <w:tc>
          <w:tcPr>
            <w:tcW w:w="2068" w:type="dxa"/>
            <w:vAlign w:val="center"/>
          </w:tcPr>
          <w:p>
            <w:pPr>
              <w:spacing w:line="360" w:lineRule="auto"/>
              <w:jc w:val="center"/>
              <w:rPr>
                <w:rFonts w:ascii="宋体" w:hAnsi="宋体"/>
                <w:szCs w:val="21"/>
              </w:rPr>
            </w:pPr>
            <w:r>
              <w:rPr>
                <w:rFonts w:hint="eastAsia" w:ascii="宋体" w:hAnsi="宋体"/>
                <w:szCs w:val="21"/>
                <w:lang w:val="en-US" w:eastAsia="zh-CN"/>
              </w:rPr>
              <w:t>巡检</w:t>
            </w:r>
            <w:r>
              <w:rPr>
                <w:rFonts w:hint="eastAsia" w:ascii="宋体" w:hAnsi="宋体"/>
                <w:szCs w:val="21"/>
              </w:rPr>
              <w:t>人员</w:t>
            </w:r>
          </w:p>
        </w:tc>
        <w:tc>
          <w:tcPr>
            <w:tcW w:w="1427" w:type="dxa"/>
            <w:vAlign w:val="center"/>
          </w:tcPr>
          <w:p>
            <w:pPr>
              <w:pStyle w:val="105"/>
              <w:spacing w:before="0" w:after="0" w:line="360" w:lineRule="exact"/>
              <w:ind w:firstLine="0" w:firstLineChars="0"/>
              <w:rPr>
                <w:rFonts w:ascii="宋体" w:hAnsi="宋体" w:eastAsia="宋体"/>
                <w:sz w:val="21"/>
                <w:szCs w:val="21"/>
              </w:rPr>
            </w:pPr>
            <w:r>
              <w:rPr>
                <w:rFonts w:hint="eastAsia" w:ascii="宋体" w:hAnsi="宋体" w:eastAsia="宋体"/>
                <w:sz w:val="21"/>
                <w:szCs w:val="21"/>
              </w:rPr>
              <w:t>生活污水</w:t>
            </w:r>
          </w:p>
        </w:tc>
        <w:tc>
          <w:tcPr>
            <w:tcW w:w="3109" w:type="dxa"/>
            <w:vAlign w:val="center"/>
          </w:tcPr>
          <w:p>
            <w:pPr>
              <w:pStyle w:val="73"/>
              <w:jc w:val="center"/>
              <w:rPr>
                <w:rFonts w:ascii="宋体"/>
                <w:szCs w:val="21"/>
              </w:rPr>
            </w:pPr>
            <w:r>
              <w:rPr>
                <w:rFonts w:hint="eastAsia" w:ascii="宋体" w:hAnsi="宋体"/>
                <w:szCs w:val="21"/>
              </w:rPr>
              <w:t>站内化粪池收集后排入污水管道，进入中法水务污水处理厂集中处置。</w:t>
            </w:r>
          </w:p>
        </w:tc>
        <w:tc>
          <w:tcPr>
            <w:tcW w:w="1743" w:type="dxa"/>
            <w:vAlign w:val="center"/>
          </w:tcPr>
          <w:p>
            <w:pPr>
              <w:spacing w:line="400" w:lineRule="exact"/>
              <w:jc w:val="center"/>
              <w:rPr>
                <w:rFonts w:ascii="宋体"/>
                <w:bCs/>
                <w:szCs w:val="21"/>
              </w:rPr>
            </w:pPr>
            <w:r>
              <w:rPr>
                <w:rFonts w:hint="eastAsia" w:ascii="宋体" w:hAnsi="宋体"/>
                <w:bCs/>
                <w:szCs w:val="21"/>
              </w:rPr>
              <w:t>无废水外排环境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Merge w:val="restart"/>
            <w:vAlign w:val="center"/>
          </w:tcPr>
          <w:p>
            <w:pPr>
              <w:spacing w:line="320" w:lineRule="exact"/>
              <w:jc w:val="center"/>
              <w:rPr>
                <w:rFonts w:ascii="宋体"/>
                <w:szCs w:val="21"/>
              </w:rPr>
            </w:pPr>
            <w:r>
              <w:rPr>
                <w:rFonts w:hint="eastAsia" w:ascii="宋体" w:hAnsi="宋体"/>
                <w:szCs w:val="21"/>
              </w:rPr>
              <w:t>固体废物</w:t>
            </w:r>
          </w:p>
        </w:tc>
        <w:tc>
          <w:tcPr>
            <w:tcW w:w="2068" w:type="dxa"/>
            <w:vAlign w:val="center"/>
          </w:tcPr>
          <w:p>
            <w:pPr>
              <w:spacing w:line="360" w:lineRule="auto"/>
              <w:jc w:val="center"/>
              <w:rPr>
                <w:rFonts w:ascii="宋体" w:hAnsi="宋体"/>
                <w:szCs w:val="21"/>
              </w:rPr>
            </w:pPr>
            <w:r>
              <w:rPr>
                <w:rFonts w:hint="eastAsia" w:ascii="宋体" w:hAnsi="宋体"/>
                <w:szCs w:val="21"/>
                <w:lang w:val="en-US" w:eastAsia="zh-CN"/>
              </w:rPr>
              <w:t>巡检</w:t>
            </w:r>
            <w:r>
              <w:rPr>
                <w:rFonts w:hint="eastAsia" w:ascii="宋体" w:hAnsi="宋体"/>
                <w:szCs w:val="21"/>
              </w:rPr>
              <w:t>人员</w:t>
            </w:r>
          </w:p>
        </w:tc>
        <w:tc>
          <w:tcPr>
            <w:tcW w:w="1427" w:type="dxa"/>
            <w:vAlign w:val="center"/>
          </w:tcPr>
          <w:p>
            <w:pPr>
              <w:pStyle w:val="105"/>
              <w:spacing w:before="0" w:after="0" w:line="360" w:lineRule="exact"/>
              <w:ind w:firstLine="0" w:firstLineChars="0"/>
              <w:rPr>
                <w:rFonts w:ascii="宋体" w:hAnsi="宋体" w:eastAsia="宋体"/>
                <w:sz w:val="21"/>
                <w:szCs w:val="21"/>
              </w:rPr>
            </w:pPr>
            <w:r>
              <w:rPr>
                <w:rFonts w:hint="eastAsia" w:ascii="宋体" w:hAnsi="宋体" w:eastAsia="宋体"/>
                <w:sz w:val="21"/>
                <w:szCs w:val="21"/>
              </w:rPr>
              <w:t>生活垃圾</w:t>
            </w:r>
          </w:p>
        </w:tc>
        <w:tc>
          <w:tcPr>
            <w:tcW w:w="3109" w:type="dxa"/>
            <w:vAlign w:val="center"/>
          </w:tcPr>
          <w:p>
            <w:pPr>
              <w:pStyle w:val="73"/>
              <w:jc w:val="center"/>
              <w:rPr>
                <w:rFonts w:ascii="宋体"/>
                <w:szCs w:val="21"/>
              </w:rPr>
            </w:pPr>
            <w:r>
              <w:rPr>
                <w:rFonts w:hint="eastAsia" w:ascii="宋体" w:hAnsi="宋体"/>
                <w:szCs w:val="21"/>
                <w:lang w:val="en-US" w:eastAsia="zh-CN"/>
              </w:rPr>
              <w:t>厂区</w:t>
            </w:r>
            <w:r>
              <w:rPr>
                <w:rFonts w:hint="eastAsia" w:ascii="宋体" w:hAnsi="宋体"/>
                <w:szCs w:val="21"/>
              </w:rPr>
              <w:t>环卫部门定期清理</w:t>
            </w:r>
          </w:p>
        </w:tc>
        <w:tc>
          <w:tcPr>
            <w:tcW w:w="1743" w:type="dxa"/>
            <w:vMerge w:val="restart"/>
            <w:vAlign w:val="center"/>
          </w:tcPr>
          <w:p>
            <w:pPr>
              <w:pStyle w:val="73"/>
              <w:jc w:val="center"/>
              <w:rPr>
                <w:rFonts w:ascii="宋体"/>
                <w:bCs/>
                <w:szCs w:val="21"/>
              </w:rPr>
            </w:pPr>
            <w:r>
              <w:rPr>
                <w:rFonts w:hint="eastAsia" w:ascii="宋体" w:hAnsi="宋体"/>
                <w:bCs/>
                <w:szCs w:val="21"/>
              </w:rPr>
              <w:t>全部妥善处理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Merge w:val="continue"/>
            <w:vAlign w:val="center"/>
          </w:tcPr>
          <w:p>
            <w:pPr>
              <w:spacing w:line="320" w:lineRule="exact"/>
              <w:jc w:val="center"/>
              <w:rPr>
                <w:rFonts w:ascii="宋体"/>
                <w:szCs w:val="21"/>
              </w:rPr>
            </w:pPr>
          </w:p>
        </w:tc>
        <w:tc>
          <w:tcPr>
            <w:tcW w:w="2068" w:type="dxa"/>
            <w:vAlign w:val="center"/>
          </w:tcPr>
          <w:p>
            <w:pPr>
              <w:spacing w:line="360" w:lineRule="auto"/>
              <w:jc w:val="center"/>
              <w:rPr>
                <w:rFonts w:hint="eastAsia" w:ascii="宋体" w:eastAsia="宋体"/>
                <w:bCs/>
                <w:szCs w:val="21"/>
                <w:lang w:val="en-US" w:eastAsia="zh-CN"/>
              </w:rPr>
            </w:pPr>
            <w:r>
              <w:rPr>
                <w:rFonts w:hint="eastAsia" w:ascii="宋体" w:hAnsi="宋体"/>
                <w:bCs/>
                <w:szCs w:val="21"/>
                <w:lang w:val="en-US" w:eastAsia="zh-CN"/>
              </w:rPr>
              <w:t>备用电源</w:t>
            </w:r>
          </w:p>
        </w:tc>
        <w:tc>
          <w:tcPr>
            <w:tcW w:w="1427" w:type="dxa"/>
            <w:vAlign w:val="center"/>
          </w:tcPr>
          <w:p>
            <w:pPr>
              <w:spacing w:line="360" w:lineRule="auto"/>
              <w:jc w:val="center"/>
              <w:rPr>
                <w:rFonts w:ascii="宋体"/>
                <w:bCs/>
                <w:szCs w:val="21"/>
              </w:rPr>
            </w:pPr>
            <w:r>
              <w:rPr>
                <w:rFonts w:hint="eastAsia" w:ascii="宋体" w:hAnsi="宋体"/>
                <w:bCs/>
                <w:szCs w:val="21"/>
              </w:rPr>
              <w:t>废蓄电池</w:t>
            </w:r>
          </w:p>
        </w:tc>
        <w:tc>
          <w:tcPr>
            <w:tcW w:w="3109" w:type="dxa"/>
            <w:vMerge w:val="restart"/>
            <w:vAlign w:val="center"/>
          </w:tcPr>
          <w:p>
            <w:pPr>
              <w:spacing w:line="400" w:lineRule="exact"/>
              <w:jc w:val="center"/>
              <w:rPr>
                <w:rFonts w:ascii="宋体"/>
                <w:bCs/>
                <w:szCs w:val="21"/>
              </w:rPr>
            </w:pPr>
            <w:r>
              <w:rPr>
                <w:rFonts w:hint="eastAsia" w:ascii="宋体" w:hAnsi="宋体"/>
                <w:bCs/>
                <w:szCs w:val="21"/>
              </w:rPr>
              <w:t>委托有资质单位处理</w:t>
            </w:r>
          </w:p>
        </w:tc>
        <w:tc>
          <w:tcPr>
            <w:tcW w:w="1743" w:type="dxa"/>
            <w:vMerge w:val="continue"/>
            <w:vAlign w:val="center"/>
          </w:tcPr>
          <w:p>
            <w:pPr>
              <w:pStyle w:val="73"/>
              <w:jc w:val="center"/>
              <w:rPr>
                <w:rFonts w:asci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Merge w:val="continue"/>
            <w:vAlign w:val="center"/>
          </w:tcPr>
          <w:p>
            <w:pPr>
              <w:spacing w:line="320" w:lineRule="exact"/>
              <w:jc w:val="center"/>
              <w:rPr>
                <w:rFonts w:ascii="宋体"/>
                <w:szCs w:val="21"/>
              </w:rPr>
            </w:pPr>
          </w:p>
        </w:tc>
        <w:tc>
          <w:tcPr>
            <w:tcW w:w="2068" w:type="dxa"/>
            <w:vAlign w:val="center"/>
          </w:tcPr>
          <w:p>
            <w:pPr>
              <w:spacing w:line="360" w:lineRule="auto"/>
              <w:jc w:val="center"/>
              <w:rPr>
                <w:rFonts w:ascii="宋体"/>
                <w:bCs/>
                <w:szCs w:val="21"/>
              </w:rPr>
            </w:pPr>
            <w:r>
              <w:rPr>
                <w:rFonts w:hint="eastAsia" w:ascii="宋体" w:hAnsi="宋体"/>
                <w:bCs/>
                <w:szCs w:val="21"/>
              </w:rPr>
              <w:t>主变压器</w:t>
            </w:r>
          </w:p>
        </w:tc>
        <w:tc>
          <w:tcPr>
            <w:tcW w:w="1427" w:type="dxa"/>
            <w:vAlign w:val="center"/>
          </w:tcPr>
          <w:p>
            <w:pPr>
              <w:spacing w:line="360" w:lineRule="auto"/>
              <w:jc w:val="center"/>
              <w:rPr>
                <w:rFonts w:ascii="宋体"/>
                <w:bCs/>
                <w:szCs w:val="21"/>
              </w:rPr>
            </w:pPr>
            <w:r>
              <w:rPr>
                <w:rFonts w:hint="eastAsia" w:ascii="宋体" w:hAnsi="宋体"/>
                <w:bCs/>
                <w:szCs w:val="21"/>
              </w:rPr>
              <w:t>废油</w:t>
            </w:r>
          </w:p>
        </w:tc>
        <w:tc>
          <w:tcPr>
            <w:tcW w:w="3109" w:type="dxa"/>
            <w:vMerge w:val="continue"/>
            <w:vAlign w:val="center"/>
          </w:tcPr>
          <w:p>
            <w:pPr>
              <w:spacing w:line="400" w:lineRule="exact"/>
              <w:jc w:val="center"/>
              <w:rPr>
                <w:rFonts w:ascii="宋体"/>
                <w:bCs/>
                <w:szCs w:val="21"/>
              </w:rPr>
            </w:pPr>
          </w:p>
        </w:tc>
        <w:tc>
          <w:tcPr>
            <w:tcW w:w="1743" w:type="dxa"/>
            <w:vMerge w:val="continue"/>
            <w:vAlign w:val="center"/>
          </w:tcPr>
          <w:p>
            <w:pPr>
              <w:pStyle w:val="73"/>
              <w:jc w:val="center"/>
              <w:rPr>
                <w:rFonts w:ascii="宋体"/>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Align w:val="center"/>
          </w:tcPr>
          <w:p>
            <w:pPr>
              <w:jc w:val="center"/>
              <w:rPr>
                <w:rFonts w:ascii="宋体"/>
                <w:szCs w:val="21"/>
              </w:rPr>
            </w:pPr>
            <w:r>
              <w:rPr>
                <w:rFonts w:hint="eastAsia" w:ascii="宋体" w:hAnsi="宋体"/>
                <w:szCs w:val="21"/>
              </w:rPr>
              <w:t>噪声</w:t>
            </w:r>
          </w:p>
        </w:tc>
        <w:tc>
          <w:tcPr>
            <w:tcW w:w="8347" w:type="dxa"/>
            <w:gridSpan w:val="4"/>
            <w:vAlign w:val="center"/>
          </w:tcPr>
          <w:p>
            <w:pPr>
              <w:spacing w:line="440" w:lineRule="exact"/>
              <w:rPr>
                <w:rFonts w:ascii="宋体"/>
                <w:snapToGrid w:val="0"/>
                <w:kern w:val="0"/>
                <w:szCs w:val="21"/>
              </w:rPr>
            </w:pPr>
            <w:r>
              <w:rPr>
                <w:rFonts w:hint="eastAsia"/>
                <w:szCs w:val="21"/>
              </w:rPr>
              <w:t>本工程变电站位于青岛特钢厂区内，厂区内其他生产设备对变电站厂界周围的噪声影响远大于变电站正常运行的噪声</w:t>
            </w:r>
            <w:r>
              <w:rPr>
                <w:rFonts w:hint="eastAsia"/>
                <w:szCs w:val="21"/>
                <w:lang w:eastAsia="zh-CN"/>
              </w:rPr>
              <w:t>，</w:t>
            </w:r>
            <w:r>
              <w:rPr>
                <w:rFonts w:hint="eastAsia"/>
                <w:szCs w:val="21"/>
                <w:lang w:val="en-US" w:eastAsia="zh-CN"/>
              </w:rPr>
              <w:t>2018年11月</w:t>
            </w:r>
            <w:r>
              <w:rPr>
                <w:rFonts w:hint="eastAsia"/>
                <w:szCs w:val="21"/>
              </w:rPr>
              <w:t>青岛中维安全检测有限公司</w:t>
            </w:r>
            <w:r>
              <w:rPr>
                <w:rFonts w:hint="eastAsia"/>
                <w:szCs w:val="21"/>
                <w:lang w:val="en-US" w:eastAsia="zh-CN"/>
              </w:rPr>
              <w:t>对青岛特钢厂区边界噪声进行验收监测，监测结果符合</w:t>
            </w:r>
            <w:r>
              <w:rPr>
                <w:rFonts w:hint="eastAsia"/>
                <w:szCs w:val="21"/>
              </w:rPr>
              <w:t>厂界噪声《工业企业厂界环境噪声排放标准》 ( GB12348-2008)中3类区标准（</w:t>
            </w:r>
            <w:r>
              <w:rPr>
                <w:rFonts w:hint="eastAsia"/>
                <w:szCs w:val="21"/>
                <w:lang w:eastAsia="zh-CN"/>
              </w:rPr>
              <w:t>昼间65dB（A）、夜间55dB（A）</w:t>
            </w:r>
            <w:r>
              <w:rPr>
                <w:rFonts w:hint="eastAsia"/>
                <w:szCs w:val="21"/>
              </w:rPr>
              <w:t>）</w:t>
            </w:r>
            <w:r>
              <w:rPr>
                <w:rFonts w:hint="eastAsia"/>
                <w:szCs w:val="21"/>
                <w:lang w:val="en-US" w:eastAsia="zh-CN"/>
              </w:rPr>
              <w:t>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Align w:val="center"/>
          </w:tcPr>
          <w:p>
            <w:pPr>
              <w:jc w:val="center"/>
              <w:rPr>
                <w:rFonts w:ascii="宋体"/>
                <w:szCs w:val="21"/>
              </w:rPr>
            </w:pPr>
            <w:r>
              <w:rPr>
                <w:rFonts w:hint="eastAsia" w:ascii="宋体" w:hAnsi="宋体"/>
                <w:szCs w:val="21"/>
              </w:rPr>
              <w:t>电磁环境</w:t>
            </w:r>
          </w:p>
        </w:tc>
        <w:tc>
          <w:tcPr>
            <w:tcW w:w="8347" w:type="dxa"/>
            <w:gridSpan w:val="4"/>
            <w:vAlign w:val="center"/>
          </w:tcPr>
          <w:p>
            <w:pPr>
              <w:spacing w:line="440" w:lineRule="exact"/>
              <w:rPr>
                <w:rFonts w:ascii="宋体"/>
                <w:snapToGrid w:val="0"/>
                <w:kern w:val="0"/>
                <w:szCs w:val="21"/>
              </w:rPr>
            </w:pPr>
            <w:r>
              <w:rPr>
                <w:rFonts w:hint="eastAsia" w:ascii="宋体" w:hAnsi="宋体"/>
                <w:snapToGrid w:val="0"/>
                <w:kern w:val="0"/>
                <w:szCs w:val="21"/>
              </w:rPr>
              <w:t>工频电场强度</w:t>
            </w:r>
            <w:r>
              <w:rPr>
                <w:rFonts w:ascii="宋体" w:hAnsi="宋体"/>
                <w:snapToGrid w:val="0"/>
                <w:kern w:val="0"/>
                <w:szCs w:val="21"/>
              </w:rPr>
              <w:t>&lt;4000V/m</w:t>
            </w:r>
            <w:r>
              <w:rPr>
                <w:rFonts w:hint="eastAsia" w:ascii="宋体" w:hAnsi="宋体"/>
                <w:snapToGrid w:val="0"/>
                <w:kern w:val="0"/>
                <w:szCs w:val="21"/>
              </w:rPr>
              <w:t>；工频磁感应强度</w:t>
            </w:r>
            <w:r>
              <w:rPr>
                <w:rFonts w:ascii="宋体" w:hAnsi="宋体"/>
                <w:snapToGrid w:val="0"/>
                <w:kern w:val="0"/>
                <w:szCs w:val="21"/>
              </w:rPr>
              <w:t>&lt;</w:t>
            </w:r>
            <w:r>
              <w:rPr>
                <w:rFonts w:ascii="宋体" w:hAnsi="宋体"/>
                <w:snapToGrid w:val="0"/>
                <w:spacing w:val="-6"/>
                <w:kern w:val="0"/>
                <w:szCs w:val="21"/>
              </w:rPr>
              <w:t>100</w:t>
            </w:r>
            <w:r>
              <w:rPr>
                <w:rFonts w:hint="eastAsia" w:ascii="宋体" w:hAnsi="宋体"/>
                <w:snapToGrid w:val="0"/>
                <w:spacing w:val="-6"/>
                <w:kern w:val="0"/>
                <w:szCs w:val="21"/>
              </w:rPr>
              <w:t>μ</w:t>
            </w:r>
            <w:r>
              <w:rPr>
                <w:rFonts w:ascii="宋体" w:hAnsi="宋体"/>
                <w:snapToGrid w:val="0"/>
                <w:spacing w:val="-6"/>
                <w:kern w:val="0"/>
                <w:szCs w:val="21"/>
              </w:rPr>
              <w: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Align w:val="center"/>
          </w:tcPr>
          <w:p>
            <w:pPr>
              <w:jc w:val="center"/>
              <w:rPr>
                <w:rFonts w:ascii="宋体"/>
                <w:szCs w:val="21"/>
              </w:rPr>
            </w:pPr>
            <w:r>
              <w:rPr>
                <w:rFonts w:hint="eastAsia" w:ascii="宋体" w:hAnsi="宋体"/>
                <w:szCs w:val="21"/>
              </w:rPr>
              <w:t>其他</w:t>
            </w:r>
          </w:p>
        </w:tc>
        <w:tc>
          <w:tcPr>
            <w:tcW w:w="8347" w:type="dxa"/>
            <w:gridSpan w:val="4"/>
            <w:vAlign w:val="center"/>
          </w:tcPr>
          <w:p>
            <w:pPr>
              <w:spacing w:line="440" w:lineRule="exact"/>
              <w:rPr>
                <w:rFonts w:ascii="宋体"/>
                <w:snapToGrid w:val="0"/>
                <w:kern w:val="0"/>
                <w:szCs w:val="21"/>
              </w:rPr>
            </w:pPr>
            <w:r>
              <w:rPr>
                <w:rFonts w:ascii="宋体" w:hAns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57" w:hRule="atLeast"/>
          <w:jc w:val="center"/>
        </w:trPr>
        <w:tc>
          <w:tcPr>
            <w:tcW w:w="9669" w:type="dxa"/>
            <w:gridSpan w:val="5"/>
          </w:tcPr>
          <w:p>
            <w:pPr>
              <w:spacing w:before="156" w:beforeLines="50" w:line="360" w:lineRule="auto"/>
              <w:rPr>
                <w:b/>
                <w:sz w:val="24"/>
              </w:rPr>
            </w:pPr>
            <w:r>
              <w:rPr>
                <w:rFonts w:hint="eastAsia"/>
                <w:b/>
                <w:sz w:val="24"/>
              </w:rPr>
              <w:t>生态保护措施及效果</w:t>
            </w:r>
          </w:p>
          <w:p>
            <w:pPr>
              <w:spacing w:line="360" w:lineRule="auto"/>
              <w:ind w:firstLine="480" w:firstLineChars="200"/>
              <w:rPr>
                <w:rFonts w:ascii="宋体" w:hAnsi="宋体"/>
                <w:sz w:val="24"/>
              </w:rPr>
            </w:pPr>
            <w:r>
              <w:rPr>
                <w:rFonts w:hint="eastAsia" w:ascii="宋体" w:hAnsi="宋体"/>
                <w:sz w:val="24"/>
              </w:rPr>
              <w:t>本工程变电站已建成投运，站内已进行土地固化处理，在多年运行过程中对周围生态环境影响较小。</w:t>
            </w:r>
          </w:p>
          <w:p>
            <w:pPr>
              <w:spacing w:line="360" w:lineRule="auto"/>
              <w:ind w:left="84" w:leftChars="40" w:right="113" w:firstLine="480" w:firstLineChars="200"/>
              <w:rPr>
                <w:rFonts w:ascii="宋体"/>
                <w:sz w:val="24"/>
              </w:rPr>
            </w:pPr>
            <w:r>
              <w:rPr>
                <w:rFonts w:hint="eastAsia" w:ascii="宋体" w:hAnsi="宋体"/>
                <w:sz w:val="24"/>
              </w:rPr>
              <w:t>输电线路（空中电缆管廊）全部位于青岛特钢厂区内，对周围生态环境影响较小。</w:t>
            </w:r>
          </w:p>
        </w:tc>
      </w:tr>
      <w:bookmarkEnd w:id="6"/>
    </w:tbl>
    <w:p>
      <w:r>
        <w:rPr>
          <w:snapToGrid w:val="0"/>
          <w:kern w:val="0"/>
        </w:rPr>
        <w:br w:type="page"/>
      </w:r>
      <w:r>
        <w:rPr>
          <w:rFonts w:ascii="黑体" w:eastAsia="黑体"/>
          <w:bCs/>
          <w:sz w:val="28"/>
          <w:szCs w:val="28"/>
        </w:rPr>
        <w:t xml:space="preserve">9 </w:t>
      </w:r>
      <w:r>
        <w:rPr>
          <w:rFonts w:hint="eastAsia" w:ascii="黑体" w:eastAsia="黑体"/>
          <w:bCs/>
          <w:sz w:val="28"/>
          <w:szCs w:val="28"/>
        </w:rPr>
        <w:t>结论与建议</w:t>
      </w:r>
    </w:p>
    <w:tbl>
      <w:tblPr>
        <w:tblStyle w:val="22"/>
        <w:tblW w:w="9281" w:type="dxa"/>
        <w:tblInd w:w="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249" w:hRule="atLeast"/>
        </w:trPr>
        <w:tc>
          <w:tcPr>
            <w:tcW w:w="9281" w:type="dxa"/>
          </w:tcPr>
          <w:p>
            <w:pPr>
              <w:snapToGrid w:val="0"/>
              <w:spacing w:line="360" w:lineRule="auto"/>
              <w:rPr>
                <w:rFonts w:ascii="黑体" w:hAnsi="宋体" w:eastAsia="黑体" w:cs="宋体"/>
                <w:color w:val="auto"/>
                <w:kern w:val="0"/>
                <w:sz w:val="28"/>
                <w:szCs w:val="28"/>
              </w:rPr>
            </w:pPr>
            <w:r>
              <w:rPr>
                <w:rFonts w:ascii="黑体" w:hAnsi="宋体" w:eastAsia="黑体" w:cs="宋体"/>
                <w:color w:val="auto"/>
                <w:kern w:val="0"/>
                <w:sz w:val="28"/>
                <w:szCs w:val="28"/>
              </w:rPr>
              <w:t xml:space="preserve">9.1 </w:t>
            </w:r>
            <w:r>
              <w:rPr>
                <w:rFonts w:hint="eastAsia" w:ascii="黑体" w:hAnsi="宋体" w:eastAsia="黑体" w:cs="宋体"/>
                <w:color w:val="auto"/>
                <w:kern w:val="0"/>
                <w:sz w:val="28"/>
                <w:szCs w:val="28"/>
              </w:rPr>
              <w:t>结论</w:t>
            </w:r>
          </w:p>
          <w:p>
            <w:pPr>
              <w:tabs>
                <w:tab w:val="right" w:pos="9412"/>
              </w:tabs>
              <w:spacing w:line="360" w:lineRule="auto"/>
              <w:ind w:firstLine="482" w:firstLineChars="200"/>
              <w:rPr>
                <w:rFonts w:ascii="宋体" w:cs="宋体"/>
                <w:b/>
                <w:color w:val="auto"/>
                <w:kern w:val="0"/>
                <w:sz w:val="24"/>
              </w:rPr>
            </w:pPr>
            <w:r>
              <w:rPr>
                <w:rFonts w:ascii="宋体" w:cs="宋体"/>
                <w:b/>
                <w:color w:val="auto"/>
                <w:kern w:val="0"/>
                <w:sz w:val="24"/>
              </w:rPr>
              <w:t>1</w:t>
            </w:r>
            <w:r>
              <w:rPr>
                <w:rFonts w:hint="eastAsia" w:ascii="宋体" w:cs="宋体"/>
                <w:b/>
                <w:color w:val="auto"/>
                <w:kern w:val="0"/>
                <w:sz w:val="24"/>
              </w:rPr>
              <w:t>、项目背景</w:t>
            </w:r>
          </w:p>
          <w:p>
            <w:pPr>
              <w:tabs>
                <w:tab w:val="right" w:pos="9412"/>
              </w:tabs>
              <w:spacing w:line="360" w:lineRule="auto"/>
              <w:ind w:firstLine="480" w:firstLineChars="200"/>
              <w:rPr>
                <w:rFonts w:ascii="宋体" w:cs="宋体"/>
                <w:color w:val="auto"/>
                <w:kern w:val="0"/>
                <w:sz w:val="24"/>
              </w:rPr>
            </w:pPr>
            <w:r>
              <w:rPr>
                <w:rFonts w:hint="eastAsia" w:ascii="宋体" w:cs="宋体"/>
                <w:color w:val="auto"/>
                <w:kern w:val="0"/>
                <w:sz w:val="24"/>
                <w:lang w:val="en-US" w:eastAsia="zh-CN"/>
              </w:rPr>
              <w:t>炼铁鼓风110kV变配电站工程</w:t>
            </w:r>
            <w:r>
              <w:rPr>
                <w:rFonts w:hint="eastAsia" w:ascii="宋体" w:cs="宋体"/>
                <w:color w:val="auto"/>
                <w:kern w:val="0"/>
                <w:sz w:val="24"/>
              </w:rPr>
              <w:t>于2015年投入运行，未开展环境影响评价，本</w:t>
            </w:r>
            <w:r>
              <w:rPr>
                <w:rFonts w:hint="eastAsia" w:ascii="宋体" w:cs="宋体"/>
                <w:color w:val="auto"/>
                <w:kern w:val="0"/>
                <w:sz w:val="24"/>
                <w:lang w:val="en-US" w:eastAsia="zh-CN"/>
              </w:rPr>
              <w:t>次</w:t>
            </w:r>
            <w:r>
              <w:rPr>
                <w:rFonts w:hint="eastAsia" w:ascii="宋体" w:cs="宋体"/>
                <w:color w:val="auto"/>
                <w:kern w:val="0"/>
                <w:sz w:val="24"/>
              </w:rPr>
              <w:t>为</w:t>
            </w:r>
            <w:r>
              <w:rPr>
                <w:rFonts w:hint="eastAsia" w:ascii="宋体" w:cs="宋体"/>
                <w:color w:val="auto"/>
                <w:kern w:val="0"/>
                <w:sz w:val="24"/>
                <w:lang w:val="en-US" w:eastAsia="zh-CN"/>
              </w:rPr>
              <w:t>补办该项目</w:t>
            </w:r>
            <w:r>
              <w:rPr>
                <w:rFonts w:hint="eastAsia" w:ascii="宋体" w:cs="宋体"/>
                <w:color w:val="auto"/>
                <w:kern w:val="0"/>
                <w:sz w:val="24"/>
                <w:lang w:eastAsia="zh-CN"/>
              </w:rPr>
              <w:t>环境影响评价</w:t>
            </w:r>
            <w:r>
              <w:rPr>
                <w:rFonts w:hint="eastAsia" w:ascii="宋体" w:cs="宋体"/>
                <w:color w:val="auto"/>
                <w:kern w:val="0"/>
                <w:sz w:val="24"/>
              </w:rPr>
              <w:t>。</w:t>
            </w:r>
          </w:p>
          <w:p>
            <w:pPr>
              <w:tabs>
                <w:tab w:val="right" w:pos="9412"/>
              </w:tabs>
              <w:spacing w:line="360" w:lineRule="auto"/>
              <w:ind w:firstLine="482" w:firstLineChars="200"/>
              <w:rPr>
                <w:rFonts w:ascii="宋体" w:cs="宋体"/>
                <w:b/>
                <w:color w:val="auto"/>
                <w:kern w:val="0"/>
                <w:sz w:val="24"/>
              </w:rPr>
            </w:pPr>
            <w:r>
              <w:rPr>
                <w:rFonts w:hint="eastAsia" w:ascii="宋体" w:cs="宋体"/>
                <w:b/>
                <w:color w:val="auto"/>
                <w:kern w:val="0"/>
                <w:sz w:val="24"/>
              </w:rPr>
              <w:t>2、项目概况及合理性</w:t>
            </w:r>
          </w:p>
          <w:p>
            <w:pPr>
              <w:spacing w:line="360" w:lineRule="auto"/>
              <w:ind w:firstLine="480" w:firstLineChars="200"/>
              <w:outlineLvl w:val="0"/>
              <w:rPr>
                <w:rFonts w:ascii="宋体" w:hAnsi="宋体"/>
                <w:bCs/>
                <w:color w:val="auto"/>
                <w:sz w:val="24"/>
                <w:szCs w:val="32"/>
              </w:rPr>
            </w:pPr>
            <w:r>
              <w:rPr>
                <w:rFonts w:hint="eastAsia" w:ascii="宋体" w:hAnsi="宋体"/>
                <w:bCs/>
                <w:color w:val="auto"/>
                <w:sz w:val="24"/>
              </w:rPr>
              <w:t>本工程为青岛特钢</w:t>
            </w:r>
            <w:r>
              <w:rPr>
                <w:rFonts w:hint="eastAsia" w:ascii="宋体" w:cs="宋体"/>
                <w:color w:val="auto"/>
                <w:kern w:val="0"/>
                <w:sz w:val="24"/>
                <w:lang w:val="en-US" w:eastAsia="zh-CN"/>
              </w:rPr>
              <w:t>炼铁鼓风110kV变配电站工程</w:t>
            </w:r>
            <w:r>
              <w:rPr>
                <w:rFonts w:hint="eastAsia" w:ascii="宋体" w:hAnsi="宋体"/>
                <w:color w:val="auto"/>
                <w:sz w:val="24"/>
              </w:rPr>
              <w:t>，由青岛特殊钢铁有限公司投资建设，包括</w:t>
            </w:r>
            <w:r>
              <w:rPr>
                <w:rFonts w:hint="eastAsia" w:ascii="宋体" w:cs="宋体"/>
                <w:color w:val="auto"/>
                <w:kern w:val="0"/>
                <w:sz w:val="24"/>
                <w:lang w:val="en-US" w:eastAsia="zh-CN"/>
              </w:rPr>
              <w:t>炼铁鼓风110kV变电站</w:t>
            </w:r>
            <w:r>
              <w:rPr>
                <w:rFonts w:hint="eastAsia" w:ascii="宋体" w:hAnsi="宋体"/>
                <w:color w:val="auto"/>
                <w:sz w:val="24"/>
              </w:rPr>
              <w:t>、</w:t>
            </w:r>
            <w:r>
              <w:rPr>
                <w:rFonts w:hint="eastAsia" w:ascii="宋体" w:cs="宋体"/>
                <w:color w:val="auto"/>
                <w:kern w:val="0"/>
                <w:sz w:val="24"/>
                <w:lang w:val="en-US" w:eastAsia="zh-CN"/>
              </w:rPr>
              <w:t>110kV鼓风I、II、III线</w:t>
            </w:r>
            <w:r>
              <w:rPr>
                <w:rFonts w:hint="eastAsia" w:ascii="宋体" w:hAnsi="宋体"/>
                <w:color w:val="auto"/>
                <w:sz w:val="24"/>
              </w:rPr>
              <w:t>。项目总投资</w:t>
            </w:r>
            <w:r>
              <w:rPr>
                <w:rFonts w:hint="eastAsia" w:ascii="宋体" w:hAnsi="宋体"/>
                <w:color w:val="auto"/>
                <w:sz w:val="24"/>
                <w:lang w:val="en-US" w:eastAsia="zh-CN"/>
              </w:rPr>
              <w:t>3000</w:t>
            </w:r>
            <w:r>
              <w:rPr>
                <w:rFonts w:hint="eastAsia" w:ascii="宋体" w:hAnsi="宋体"/>
                <w:bCs/>
                <w:color w:val="auto"/>
                <w:sz w:val="24"/>
                <w:szCs w:val="32"/>
              </w:rPr>
              <w:t>万元，环保投资</w:t>
            </w:r>
            <w:r>
              <w:rPr>
                <w:rFonts w:hint="eastAsia" w:ascii="宋体" w:hAnsi="宋体"/>
                <w:bCs/>
                <w:color w:val="auto"/>
                <w:sz w:val="24"/>
                <w:szCs w:val="32"/>
                <w:lang w:val="en-US" w:eastAsia="zh-CN"/>
              </w:rPr>
              <w:t>5</w:t>
            </w:r>
            <w:r>
              <w:rPr>
                <w:rFonts w:hint="eastAsia" w:ascii="宋体" w:hAnsi="宋体"/>
                <w:bCs/>
                <w:color w:val="auto"/>
                <w:sz w:val="24"/>
                <w:szCs w:val="32"/>
              </w:rPr>
              <w:t>万元。</w:t>
            </w:r>
          </w:p>
          <w:p>
            <w:pPr>
              <w:tabs>
                <w:tab w:val="left" w:pos="8978"/>
              </w:tabs>
              <w:adjustRightInd w:val="0"/>
              <w:spacing w:line="360" w:lineRule="auto"/>
              <w:ind w:firstLine="480" w:firstLineChars="200"/>
              <w:rPr>
                <w:rFonts w:ascii="宋体" w:hAnsi="宋体"/>
                <w:bCs/>
                <w:color w:val="auto"/>
                <w:sz w:val="24"/>
              </w:rPr>
            </w:pPr>
            <w:r>
              <w:rPr>
                <w:rFonts w:hint="eastAsia" w:ascii="宋体" w:cs="宋体"/>
                <w:color w:val="auto"/>
                <w:kern w:val="0"/>
                <w:sz w:val="24"/>
                <w:lang w:val="en-US" w:eastAsia="zh-CN"/>
              </w:rPr>
              <w:t>炼铁鼓风110kV变电站</w:t>
            </w:r>
            <w:r>
              <w:rPr>
                <w:rFonts w:hint="eastAsia" w:ascii="宋体" w:hAnsi="宋体"/>
                <w:color w:val="auto"/>
                <w:sz w:val="24"/>
              </w:rPr>
              <w:t>位于青岛特殊钢铁有限公司内，为已建成变电站，站内目前安装</w:t>
            </w:r>
            <w:r>
              <w:rPr>
                <w:rFonts w:hint="eastAsia" w:ascii="宋体" w:hAnsi="宋体"/>
                <w:color w:val="auto"/>
                <w:sz w:val="24"/>
                <w:lang w:val="en-US" w:eastAsia="zh-CN"/>
              </w:rPr>
              <w:t>31.5</w:t>
            </w:r>
            <w:r>
              <w:rPr>
                <w:rFonts w:hint="eastAsia" w:ascii="宋体" w:hAnsi="宋体"/>
                <w:color w:val="auto"/>
                <w:sz w:val="24"/>
              </w:rPr>
              <w:t>MVA主变</w:t>
            </w:r>
            <w:r>
              <w:rPr>
                <w:rFonts w:hint="eastAsia" w:ascii="宋体" w:hAnsi="宋体"/>
                <w:color w:val="auto"/>
                <w:sz w:val="24"/>
                <w:lang w:val="en-US" w:eastAsia="zh-CN"/>
              </w:rPr>
              <w:t>3</w:t>
            </w:r>
            <w:r>
              <w:rPr>
                <w:rFonts w:hint="eastAsia" w:ascii="宋体" w:hAnsi="宋体"/>
                <w:color w:val="auto"/>
                <w:sz w:val="24"/>
              </w:rPr>
              <w:t>台，电压等级为11</w:t>
            </w:r>
            <w:r>
              <w:rPr>
                <w:rFonts w:ascii="宋体" w:hAnsi="宋体"/>
                <w:color w:val="auto"/>
                <w:sz w:val="24"/>
              </w:rPr>
              <w:t>0/10</w:t>
            </w:r>
            <w:r>
              <w:rPr>
                <w:rFonts w:hint="eastAsia" w:ascii="宋体" w:hAnsi="宋体"/>
                <w:color w:val="auto"/>
                <w:sz w:val="24"/>
              </w:rPr>
              <w:t>.5</w:t>
            </w:r>
            <w:r>
              <w:rPr>
                <w:rFonts w:ascii="宋体" w:hAnsi="宋体"/>
                <w:color w:val="auto"/>
                <w:sz w:val="24"/>
              </w:rPr>
              <w:t>kV</w:t>
            </w:r>
            <w:r>
              <w:rPr>
                <w:rFonts w:hint="eastAsia" w:ascii="宋体" w:hAnsi="宋体"/>
                <w:color w:val="auto"/>
                <w:sz w:val="24"/>
              </w:rPr>
              <w:t>，总体布置方式为主变压器户外布置，10kV配电装置户内布置，设置</w:t>
            </w:r>
            <w:r>
              <w:rPr>
                <w:rFonts w:hint="eastAsia" w:ascii="宋体" w:hAnsi="宋体"/>
                <w:color w:val="auto"/>
                <w:sz w:val="24"/>
                <w:lang w:val="en-US" w:eastAsia="zh-CN"/>
              </w:rPr>
              <w:t>3</w:t>
            </w:r>
            <w:r>
              <w:rPr>
                <w:rFonts w:hint="eastAsia" w:ascii="宋体" w:hAnsi="宋体"/>
                <w:color w:val="auto"/>
                <w:sz w:val="24"/>
              </w:rPr>
              <w:t>回工作电源进线</w:t>
            </w:r>
            <w:r>
              <w:rPr>
                <w:rFonts w:hint="eastAsia" w:ascii="宋体" w:hAnsi="宋体"/>
                <w:color w:val="auto"/>
                <w:sz w:val="24"/>
                <w:lang w:val="en-US" w:eastAsia="zh-CN"/>
              </w:rPr>
              <w:t>,从自</w:t>
            </w:r>
            <w:r>
              <w:rPr>
                <w:rFonts w:hint="eastAsia" w:ascii="宋体" w:hAnsi="宋体"/>
                <w:color w:val="auto"/>
                <w:sz w:val="24"/>
              </w:rPr>
              <w:t>冶炼铁前110kV变电站</w:t>
            </w:r>
            <w:r>
              <w:rPr>
                <w:rFonts w:hint="eastAsia" w:ascii="宋体" w:hAnsi="宋体"/>
                <w:color w:val="auto"/>
                <w:sz w:val="24"/>
                <w:lang w:val="en-US" w:eastAsia="zh-CN"/>
              </w:rPr>
              <w:t>GIS端出线后直接分别接入</w:t>
            </w:r>
            <w:r>
              <w:rPr>
                <w:rFonts w:hint="eastAsia" w:ascii="宋体" w:hAnsi="宋体"/>
                <w:color w:val="auto"/>
                <w:sz w:val="24"/>
              </w:rPr>
              <w:t>炼铁鼓风110kV变配电站</w:t>
            </w:r>
            <w:r>
              <w:rPr>
                <w:rFonts w:hint="eastAsia" w:ascii="宋体" w:hAnsi="宋体"/>
                <w:color w:val="auto"/>
                <w:sz w:val="24"/>
                <w:lang w:val="en-US" w:eastAsia="zh-CN"/>
              </w:rPr>
              <w:t>三台主变，电缆线路</w:t>
            </w:r>
            <w:r>
              <w:rPr>
                <w:rFonts w:hint="eastAsia" w:ascii="宋体" w:hAnsi="宋体"/>
                <w:color w:val="auto"/>
                <w:sz w:val="24"/>
              </w:rPr>
              <w:t>全长</w:t>
            </w:r>
            <w:r>
              <w:rPr>
                <w:rFonts w:hint="eastAsia" w:ascii="宋体" w:hAnsi="宋体"/>
                <w:color w:val="auto"/>
                <w:sz w:val="24"/>
                <w:lang w:val="en-US" w:eastAsia="zh-CN"/>
              </w:rPr>
              <w:t>3</w:t>
            </w:r>
            <w:r>
              <w:rPr>
                <w:rFonts w:hint="eastAsia" w:ascii="宋体" w:hAnsi="宋体"/>
                <w:color w:val="auto"/>
                <w:sz w:val="24"/>
              </w:rPr>
              <w:t>×0.3</w:t>
            </w:r>
            <w:r>
              <w:rPr>
                <w:rFonts w:hint="eastAsia" w:ascii="宋体" w:hAnsi="宋体"/>
                <w:color w:val="auto"/>
                <w:sz w:val="24"/>
                <w:lang w:val="en-US" w:eastAsia="zh-CN"/>
              </w:rPr>
              <w:t>5</w:t>
            </w:r>
            <w:r>
              <w:rPr>
                <w:rFonts w:hint="eastAsia" w:ascii="宋体" w:hAnsi="宋体"/>
                <w:color w:val="auto"/>
                <w:sz w:val="24"/>
              </w:rPr>
              <w:t>km。</w:t>
            </w:r>
          </w:p>
          <w:p>
            <w:pPr>
              <w:spacing w:line="360" w:lineRule="auto"/>
              <w:ind w:firstLine="456" w:firstLineChars="200"/>
              <w:outlineLvl w:val="0"/>
              <w:rPr>
                <w:rFonts w:ascii="宋体"/>
                <w:snapToGrid w:val="0"/>
                <w:color w:val="auto"/>
                <w:spacing w:val="-6"/>
                <w:kern w:val="0"/>
                <w:sz w:val="24"/>
              </w:rPr>
            </w:pPr>
            <w:r>
              <w:rPr>
                <w:rFonts w:hint="eastAsia" w:ascii="宋体" w:hAnsi="宋体"/>
                <w:snapToGrid w:val="0"/>
                <w:color w:val="auto"/>
                <w:spacing w:val="-6"/>
                <w:kern w:val="0"/>
                <w:sz w:val="24"/>
              </w:rPr>
              <w:t>本工程属于《产业结构调整指导目录（</w:t>
            </w:r>
            <w:r>
              <w:rPr>
                <w:rFonts w:ascii="宋体" w:hAnsi="宋体"/>
                <w:snapToGrid w:val="0"/>
                <w:color w:val="auto"/>
                <w:spacing w:val="-6"/>
                <w:kern w:val="0"/>
                <w:sz w:val="24"/>
              </w:rPr>
              <w:t>2011</w:t>
            </w:r>
            <w:r>
              <w:rPr>
                <w:rFonts w:hint="eastAsia" w:ascii="宋体" w:hAnsi="宋体"/>
                <w:snapToGrid w:val="0"/>
                <w:color w:val="auto"/>
                <w:spacing w:val="-6"/>
                <w:kern w:val="0"/>
                <w:sz w:val="24"/>
              </w:rPr>
              <w:t>年本）》（</w:t>
            </w:r>
            <w:r>
              <w:rPr>
                <w:rFonts w:ascii="宋体" w:hAnsi="宋体"/>
                <w:snapToGrid w:val="0"/>
                <w:color w:val="auto"/>
                <w:spacing w:val="-6"/>
                <w:kern w:val="0"/>
                <w:sz w:val="24"/>
              </w:rPr>
              <w:t>2013</w:t>
            </w:r>
            <w:r>
              <w:rPr>
                <w:rFonts w:hint="eastAsia" w:ascii="宋体" w:hAnsi="宋体"/>
                <w:snapToGrid w:val="0"/>
                <w:color w:val="auto"/>
                <w:spacing w:val="-6"/>
                <w:kern w:val="0"/>
                <w:sz w:val="24"/>
              </w:rPr>
              <w:t>年修正）中鼓励类项目，符合国家产业政策，满足当地经济发展需要。本工程变电站已取的土地证。因此本工程的建设是合理的。</w:t>
            </w:r>
          </w:p>
          <w:p>
            <w:pPr>
              <w:spacing w:line="360" w:lineRule="auto"/>
              <w:ind w:firstLine="480" w:firstLineChars="200"/>
              <w:outlineLvl w:val="0"/>
              <w:rPr>
                <w:color w:val="auto"/>
                <w:sz w:val="24"/>
              </w:rPr>
            </w:pPr>
            <w:r>
              <w:rPr>
                <w:rFonts w:hint="eastAsia" w:ascii="宋体" w:hAnsi="宋体"/>
                <w:color w:val="auto"/>
                <w:sz w:val="24"/>
              </w:rPr>
              <w:t>本工程变电站和电缆</w:t>
            </w:r>
            <w:r>
              <w:rPr>
                <w:rFonts w:hint="eastAsia" w:ascii="宋体" w:hAnsi="宋体"/>
                <w:color w:val="auto"/>
                <w:sz w:val="24"/>
                <w:lang w:val="en-US" w:eastAsia="zh-CN"/>
              </w:rPr>
              <w:t>通</w:t>
            </w:r>
            <w:r>
              <w:rPr>
                <w:rFonts w:hint="eastAsia" w:ascii="宋体" w:hAnsi="宋体"/>
                <w:color w:val="auto"/>
                <w:sz w:val="24"/>
              </w:rPr>
              <w:t>廊均在青岛特殊钢铁有限公司院内，</w:t>
            </w:r>
            <w:r>
              <w:rPr>
                <w:color w:val="auto"/>
                <w:sz w:val="24"/>
              </w:rPr>
              <w:t>评价范围内不涉及自然保护区、风景名胜区、森林公园等，不涉及《全国主体功能区规划》中限制开发区域（国家重点生态功能区）和禁止开发区域，不涉及《山东省生态保护红线规划（2016～2020）》中的生态保护区域。</w:t>
            </w:r>
          </w:p>
          <w:p>
            <w:pPr>
              <w:tabs>
                <w:tab w:val="right" w:pos="9412"/>
              </w:tabs>
              <w:spacing w:line="360" w:lineRule="auto"/>
              <w:ind w:firstLine="482" w:firstLineChars="200"/>
              <w:rPr>
                <w:rFonts w:ascii="宋体" w:cs="宋体"/>
                <w:b/>
                <w:color w:val="auto"/>
                <w:kern w:val="0"/>
                <w:sz w:val="24"/>
              </w:rPr>
            </w:pPr>
            <w:r>
              <w:rPr>
                <w:rFonts w:hint="eastAsia" w:ascii="宋体" w:cs="宋体"/>
                <w:b/>
                <w:color w:val="auto"/>
                <w:kern w:val="0"/>
                <w:sz w:val="24"/>
              </w:rPr>
              <w:t>3、环境保护目标情况</w:t>
            </w:r>
          </w:p>
          <w:p>
            <w:pPr>
              <w:spacing w:line="360" w:lineRule="auto"/>
              <w:ind w:firstLine="480" w:firstLineChars="200"/>
              <w:outlineLvl w:val="0"/>
              <w:rPr>
                <w:color w:val="auto"/>
                <w:sz w:val="24"/>
              </w:rPr>
            </w:pPr>
            <w:r>
              <w:rPr>
                <w:rFonts w:hint="eastAsia"/>
                <w:color w:val="auto"/>
                <w:sz w:val="24"/>
              </w:rPr>
              <w:t>经现场调查，评价范围内无环境保护目标。</w:t>
            </w:r>
          </w:p>
          <w:p>
            <w:pPr>
              <w:tabs>
                <w:tab w:val="right" w:pos="9412"/>
              </w:tabs>
              <w:spacing w:line="360" w:lineRule="auto"/>
              <w:ind w:firstLine="482" w:firstLineChars="200"/>
              <w:rPr>
                <w:rFonts w:ascii="宋体" w:cs="宋体"/>
                <w:b/>
                <w:color w:val="auto"/>
                <w:kern w:val="0"/>
                <w:sz w:val="24"/>
              </w:rPr>
            </w:pPr>
            <w:r>
              <w:rPr>
                <w:rFonts w:hint="eastAsia" w:ascii="宋体" w:cs="宋体"/>
                <w:b/>
                <w:color w:val="auto"/>
                <w:kern w:val="0"/>
                <w:sz w:val="24"/>
              </w:rPr>
              <w:t>4、环境现状检测</w:t>
            </w:r>
          </w:p>
          <w:p>
            <w:pPr>
              <w:tabs>
                <w:tab w:val="right" w:pos="9412"/>
              </w:tabs>
              <w:spacing w:line="360" w:lineRule="auto"/>
              <w:ind w:firstLine="480" w:firstLineChars="200"/>
              <w:rPr>
                <w:rFonts w:ascii="宋体" w:cs="宋体"/>
                <w:color w:val="auto"/>
                <w:kern w:val="0"/>
                <w:sz w:val="24"/>
              </w:rPr>
            </w:pPr>
            <w:r>
              <w:rPr>
                <w:rFonts w:hint="eastAsia" w:ascii="宋体" w:hAnsi="宋体"/>
                <w:color w:val="auto"/>
                <w:sz w:val="24"/>
              </w:rPr>
              <w:t>（1）电磁环境质量现状</w:t>
            </w:r>
          </w:p>
          <w:p>
            <w:pPr>
              <w:spacing w:line="360" w:lineRule="auto"/>
              <w:ind w:firstLine="480" w:firstLineChars="200"/>
              <w:rPr>
                <w:rFonts w:ascii="宋体"/>
                <w:snapToGrid w:val="0"/>
                <w:color w:val="auto"/>
                <w:kern w:val="0"/>
                <w:sz w:val="24"/>
              </w:rPr>
            </w:pPr>
            <w:r>
              <w:rPr>
                <w:rFonts w:hint="eastAsia" w:ascii="宋体" w:hAnsi="宋体"/>
                <w:snapToGrid w:val="0"/>
                <w:color w:val="auto"/>
                <w:kern w:val="0"/>
                <w:sz w:val="24"/>
              </w:rPr>
              <w:t>根据现状检测结果，变电站周围工频电场强度为</w:t>
            </w:r>
            <w:r>
              <w:rPr>
                <w:rFonts w:hint="eastAsia" w:ascii="宋体" w:hAnsi="宋体"/>
                <w:snapToGrid w:val="0"/>
                <w:color w:val="auto"/>
                <w:kern w:val="0"/>
                <w:sz w:val="24"/>
                <w:lang w:val="en-US" w:eastAsia="zh-CN"/>
              </w:rPr>
              <w:t>（4.698～13.83）V/m、磁感应强度为（0.036～0.848）μT；线路周围的工频电场强度为（5.878～17.14）V/m、磁感应强度值为（0.010～0.034）</w:t>
            </w:r>
            <w:r>
              <w:rPr>
                <w:rFonts w:hint="eastAsia" w:ascii="宋体" w:hAnsi="宋体"/>
                <w:snapToGrid w:val="0"/>
                <w:color w:val="auto"/>
                <w:kern w:val="0"/>
                <w:sz w:val="24"/>
              </w:rPr>
              <w:t>μT，均满足《电磁环境控制限值》（GB8702-2014）规定的工频电场强度公众曝露控制限值4000V/m、工频磁感应强度公众曝露控制限值100μT的要求。</w:t>
            </w:r>
            <w:r>
              <w:rPr>
                <w:rFonts w:hint="eastAsia" w:ascii="宋体" w:cs="宋体"/>
                <w:color w:val="auto"/>
                <w:kern w:val="0"/>
                <w:sz w:val="24"/>
                <w:lang w:val="en-US" w:eastAsia="zh-CN"/>
              </w:rPr>
              <w:t>炼铁鼓风110kV变配电站工程</w:t>
            </w:r>
            <w:r>
              <w:rPr>
                <w:rFonts w:hint="eastAsia" w:ascii="宋体" w:hAnsi="宋体"/>
                <w:snapToGrid w:val="0"/>
                <w:color w:val="auto"/>
                <w:kern w:val="0"/>
                <w:sz w:val="24"/>
              </w:rPr>
              <w:t>在正常运行过程中，对周边区域的电磁环境产生的影响满足国家的相关要求。</w:t>
            </w:r>
          </w:p>
          <w:p>
            <w:pPr>
              <w:spacing w:line="360" w:lineRule="auto"/>
              <w:ind w:firstLine="480" w:firstLineChars="200"/>
              <w:rPr>
                <w:rFonts w:ascii="宋体"/>
                <w:color w:val="auto"/>
                <w:sz w:val="24"/>
              </w:rPr>
            </w:pPr>
            <w:r>
              <w:rPr>
                <w:rFonts w:hint="eastAsia" w:ascii="宋体" w:hAnsi="宋体"/>
                <w:color w:val="auto"/>
                <w:sz w:val="24"/>
              </w:rPr>
              <w:t>（2）声环境质量现状</w:t>
            </w:r>
          </w:p>
          <w:p>
            <w:pPr>
              <w:spacing w:line="360" w:lineRule="auto"/>
              <w:ind w:firstLine="480" w:firstLineChars="200"/>
              <w:rPr>
                <w:rFonts w:hint="eastAsia" w:ascii="宋体" w:hAnsi="宋体"/>
                <w:snapToGrid w:val="0"/>
                <w:color w:val="auto"/>
                <w:kern w:val="0"/>
                <w:sz w:val="24"/>
              </w:rPr>
            </w:pPr>
            <w:r>
              <w:rPr>
                <w:rFonts w:hint="eastAsia" w:ascii="宋体" w:hAnsi="宋体"/>
                <w:snapToGrid w:val="0"/>
                <w:color w:val="auto"/>
                <w:kern w:val="0"/>
                <w:sz w:val="24"/>
              </w:rPr>
              <w:t>根据《环境影响评价技术导则 输变电工程》（HJ24-2014）和《环境影响评价技术导则 声环境》（HJ2.4-2009），本工程变电站位于青岛特钢厂区内，厂区内其他生产设备对变电站厂界周围的噪声影响远大于变电站正常运行的噪声</w:t>
            </w:r>
            <w:r>
              <w:rPr>
                <w:rFonts w:hint="eastAsia" w:ascii="宋体" w:hAnsi="宋体"/>
                <w:snapToGrid w:val="0"/>
                <w:color w:val="auto"/>
                <w:kern w:val="0"/>
                <w:sz w:val="24"/>
                <w:lang w:eastAsia="zh-CN"/>
              </w:rPr>
              <w:t>，</w:t>
            </w:r>
            <w:r>
              <w:rPr>
                <w:rFonts w:hint="eastAsia" w:ascii="宋体" w:hAnsi="宋体"/>
                <w:snapToGrid w:val="0"/>
                <w:color w:val="auto"/>
                <w:kern w:val="0"/>
                <w:sz w:val="24"/>
                <w:lang w:val="en-US" w:eastAsia="zh-CN"/>
              </w:rPr>
              <w:t>故以青岛特钢厂区边界噪声来评价厂界噪声是否达标</w:t>
            </w:r>
            <w:r>
              <w:rPr>
                <w:rFonts w:hint="eastAsia" w:ascii="宋体" w:hAnsi="宋体"/>
                <w:snapToGrid w:val="0"/>
                <w:color w:val="auto"/>
                <w:kern w:val="0"/>
                <w:sz w:val="24"/>
              </w:rPr>
              <w:t>。</w:t>
            </w:r>
            <w:r>
              <w:rPr>
                <w:rFonts w:hint="eastAsia" w:ascii="宋体" w:hAnsi="宋体"/>
                <w:snapToGrid w:val="0"/>
                <w:color w:val="auto"/>
                <w:kern w:val="0"/>
                <w:sz w:val="24"/>
                <w:lang w:val="en-US" w:eastAsia="zh-CN"/>
              </w:rPr>
              <w:t>2018年11月</w:t>
            </w:r>
            <w:r>
              <w:rPr>
                <w:rFonts w:hint="eastAsia" w:ascii="宋体" w:hAnsi="宋体"/>
                <w:snapToGrid w:val="0"/>
                <w:color w:val="auto"/>
                <w:kern w:val="0"/>
                <w:sz w:val="24"/>
              </w:rPr>
              <w:t>青岛中维安全检测有限公司</w:t>
            </w:r>
            <w:r>
              <w:rPr>
                <w:rFonts w:hint="eastAsia" w:ascii="宋体" w:hAnsi="宋体"/>
                <w:snapToGrid w:val="0"/>
                <w:color w:val="auto"/>
                <w:kern w:val="0"/>
                <w:sz w:val="24"/>
                <w:lang w:val="en-US" w:eastAsia="zh-CN"/>
              </w:rPr>
              <w:t>对青岛特钢厂区边界噪声进行验收监测，监测结果符合</w:t>
            </w:r>
            <w:r>
              <w:rPr>
                <w:rFonts w:hint="eastAsia" w:ascii="宋体" w:hAnsi="宋体"/>
                <w:snapToGrid w:val="0"/>
                <w:color w:val="auto"/>
                <w:kern w:val="0"/>
                <w:sz w:val="24"/>
              </w:rPr>
              <w:t>厂界噪声《工业企业厂界环境噪声排放标准》 ( GB12348-2008)中3类区标准（</w:t>
            </w:r>
            <w:r>
              <w:rPr>
                <w:rFonts w:hint="eastAsia" w:ascii="宋体" w:hAnsi="宋体" w:cs="Times New Roman"/>
                <w:color w:val="auto"/>
                <w:kern w:val="0"/>
                <w:sz w:val="24"/>
                <w:lang w:eastAsia="zh-CN"/>
              </w:rPr>
              <w:t>昼间65dB（A）、夜间55dB（A）</w:t>
            </w:r>
            <w:r>
              <w:rPr>
                <w:rFonts w:hint="eastAsia" w:ascii="宋体" w:hAnsi="宋体"/>
                <w:snapToGrid w:val="0"/>
                <w:color w:val="auto"/>
                <w:kern w:val="0"/>
                <w:sz w:val="24"/>
              </w:rPr>
              <w:t>）</w:t>
            </w:r>
            <w:r>
              <w:rPr>
                <w:rFonts w:hint="eastAsia" w:ascii="宋体" w:hAnsi="宋体"/>
                <w:snapToGrid w:val="0"/>
                <w:color w:val="auto"/>
                <w:kern w:val="0"/>
                <w:sz w:val="24"/>
                <w:lang w:val="en-US" w:eastAsia="zh-CN"/>
              </w:rPr>
              <w:t>要求。</w:t>
            </w:r>
          </w:p>
          <w:p>
            <w:pPr>
              <w:spacing w:line="360" w:lineRule="auto"/>
              <w:ind w:firstLine="482" w:firstLineChars="200"/>
              <w:rPr>
                <w:rFonts w:ascii="宋体"/>
                <w:b/>
                <w:color w:val="auto"/>
                <w:sz w:val="24"/>
              </w:rPr>
            </w:pPr>
            <w:r>
              <w:rPr>
                <w:rFonts w:hint="eastAsia" w:ascii="宋体" w:hAnsi="宋体"/>
                <w:b/>
                <w:color w:val="auto"/>
                <w:sz w:val="24"/>
              </w:rPr>
              <w:t>5、环境保护措施与对策</w:t>
            </w:r>
          </w:p>
          <w:p>
            <w:pPr>
              <w:spacing w:line="460" w:lineRule="exact"/>
              <w:ind w:firstLine="480" w:firstLineChars="200"/>
              <w:rPr>
                <w:rFonts w:ascii="宋体" w:hAnsi="宋体"/>
                <w:color w:val="auto"/>
                <w:sz w:val="24"/>
              </w:rPr>
            </w:pPr>
            <w:r>
              <w:rPr>
                <w:rFonts w:hint="eastAsia" w:ascii="宋体" w:hAnsi="宋体"/>
                <w:color w:val="auto"/>
                <w:sz w:val="24"/>
              </w:rPr>
              <w:t>（1）电磁污染防治措施</w:t>
            </w:r>
          </w:p>
          <w:p>
            <w:pPr>
              <w:spacing w:line="460" w:lineRule="exact"/>
              <w:ind w:firstLine="480" w:firstLineChars="200"/>
              <w:rPr>
                <w:rFonts w:ascii="宋体" w:hAnsi="宋体"/>
                <w:color w:val="auto"/>
                <w:sz w:val="24"/>
              </w:rPr>
            </w:pPr>
            <w:r>
              <w:rPr>
                <w:rFonts w:hint="eastAsia" w:ascii="宋体" w:hAnsi="宋体"/>
                <w:color w:val="auto"/>
                <w:sz w:val="24"/>
              </w:rPr>
              <w:t>在变电站布置上，通过合理布置主变压器位置，可有效利用墙壁隔挡及距离衰减，减小了对站区围墙外工频电场、工频磁场的影响。</w:t>
            </w:r>
          </w:p>
          <w:p>
            <w:pPr>
              <w:spacing w:line="460" w:lineRule="exact"/>
              <w:ind w:firstLine="480" w:firstLineChars="200"/>
              <w:rPr>
                <w:rFonts w:ascii="宋体" w:hAnsi="宋体"/>
                <w:color w:val="auto"/>
                <w:sz w:val="24"/>
              </w:rPr>
            </w:pPr>
            <w:r>
              <w:rPr>
                <w:rFonts w:hint="eastAsia" w:ascii="宋体" w:hAnsi="宋体"/>
                <w:color w:val="auto"/>
                <w:sz w:val="24"/>
              </w:rPr>
              <w:t>（2）噪声防治措施</w:t>
            </w:r>
          </w:p>
          <w:p>
            <w:pPr>
              <w:spacing w:line="460" w:lineRule="exact"/>
              <w:ind w:firstLine="480" w:firstLineChars="200"/>
              <w:rPr>
                <w:rFonts w:ascii="宋体"/>
                <w:color w:val="auto"/>
                <w:sz w:val="24"/>
                <w:highlight w:val="yellow"/>
              </w:rPr>
            </w:pPr>
            <w:r>
              <w:rPr>
                <w:rFonts w:hint="eastAsia" w:ascii="宋体" w:hAnsi="宋体"/>
                <w:color w:val="auto"/>
                <w:sz w:val="24"/>
              </w:rPr>
              <w:t>从变电站声源上控制噪声，主变压器、风机等选取环保的低噪声设备进行安装运行。在设备布置上，对高噪声设备通过合理优化平面布置，主变压器之间设置防火墙，利用建筑物、墙</w:t>
            </w:r>
            <w:r>
              <w:rPr>
                <w:rFonts w:hint="eastAsia" w:ascii="宋体" w:hAnsi="宋体"/>
                <w:color w:val="auto"/>
                <w:sz w:val="24"/>
                <w:highlight w:val="none"/>
              </w:rPr>
              <w:t>体阻隔及距离衰减减小噪声的影响。</w:t>
            </w:r>
            <w:r>
              <w:rPr>
                <w:rFonts w:hint="eastAsia" w:ascii="宋体"/>
                <w:color w:val="auto"/>
                <w:sz w:val="24"/>
                <w:highlight w:val="none"/>
                <w:lang w:val="en-US" w:eastAsia="zh-CN"/>
              </w:rPr>
              <w:t>本工程输电线路为电缆线路，不产生噪声影响</w:t>
            </w:r>
            <w:r>
              <w:rPr>
                <w:rFonts w:hint="eastAsia" w:ascii="宋体"/>
                <w:color w:val="auto"/>
                <w:sz w:val="24"/>
                <w:highlight w:val="none"/>
              </w:rPr>
              <w:t>。</w:t>
            </w:r>
          </w:p>
          <w:p>
            <w:pPr>
              <w:spacing w:line="460" w:lineRule="exact"/>
              <w:ind w:firstLine="464" w:firstLineChars="200"/>
              <w:rPr>
                <w:rFonts w:ascii="宋体"/>
                <w:color w:val="auto"/>
                <w:sz w:val="24"/>
              </w:rPr>
            </w:pPr>
            <w:r>
              <w:rPr>
                <w:rFonts w:hint="eastAsia" w:ascii="宋体" w:hAnsi="宋体"/>
                <w:snapToGrid w:val="0"/>
                <w:color w:val="auto"/>
                <w:spacing w:val="-4"/>
                <w:kern w:val="0"/>
                <w:sz w:val="24"/>
              </w:rPr>
              <w:t>（</w:t>
            </w:r>
            <w:r>
              <w:rPr>
                <w:rFonts w:ascii="宋体" w:hAnsi="宋体"/>
                <w:snapToGrid w:val="0"/>
                <w:color w:val="auto"/>
                <w:spacing w:val="-4"/>
                <w:kern w:val="0"/>
                <w:sz w:val="24"/>
              </w:rPr>
              <w:t>3</w:t>
            </w:r>
            <w:r>
              <w:rPr>
                <w:rFonts w:hint="eastAsia" w:ascii="宋体" w:hAnsi="宋体"/>
                <w:snapToGrid w:val="0"/>
                <w:color w:val="auto"/>
                <w:spacing w:val="-4"/>
                <w:kern w:val="0"/>
                <w:sz w:val="24"/>
              </w:rPr>
              <w:t>）废水</w:t>
            </w:r>
            <w:r>
              <w:rPr>
                <w:rFonts w:hint="eastAsia" w:ascii="宋体" w:hAnsi="宋体"/>
                <w:color w:val="auto"/>
                <w:sz w:val="24"/>
              </w:rPr>
              <w:t>防治措施</w:t>
            </w:r>
          </w:p>
          <w:p>
            <w:pPr>
              <w:spacing w:line="460" w:lineRule="exact"/>
              <w:ind w:firstLine="470" w:firstLineChars="196"/>
              <w:rPr>
                <w:rFonts w:ascii="宋体" w:hAnsi="宋体"/>
                <w:snapToGrid w:val="0"/>
                <w:color w:val="auto"/>
                <w:kern w:val="0"/>
                <w:sz w:val="24"/>
              </w:rPr>
            </w:pPr>
            <w:r>
              <w:rPr>
                <w:rFonts w:hint="eastAsia" w:ascii="宋体" w:hAnsi="宋体"/>
                <w:color w:val="auto"/>
                <w:sz w:val="24"/>
                <w:lang w:val="en-US" w:eastAsia="zh-CN"/>
              </w:rPr>
              <w:t>巡检</w:t>
            </w:r>
            <w:r>
              <w:rPr>
                <w:rFonts w:hint="eastAsia" w:ascii="宋体" w:hAnsi="宋体"/>
                <w:color w:val="auto"/>
                <w:sz w:val="24"/>
              </w:rPr>
              <w:t>人员产生</w:t>
            </w:r>
            <w:r>
              <w:rPr>
                <w:rFonts w:hint="eastAsia" w:ascii="宋体" w:hAnsi="宋体"/>
                <w:color w:val="auto"/>
                <w:sz w:val="24"/>
                <w:lang w:val="en-US" w:eastAsia="zh-CN"/>
              </w:rPr>
              <w:t>少量</w:t>
            </w:r>
            <w:r>
              <w:rPr>
                <w:rFonts w:hint="eastAsia" w:ascii="宋体" w:hAnsi="宋体"/>
                <w:color w:val="auto"/>
                <w:sz w:val="24"/>
              </w:rPr>
              <w:t>的生活污水</w:t>
            </w:r>
            <w:r>
              <w:rPr>
                <w:rFonts w:hint="eastAsia" w:ascii="宋体" w:hAnsi="宋体"/>
                <w:snapToGrid w:val="0"/>
                <w:color w:val="auto"/>
                <w:kern w:val="0"/>
                <w:sz w:val="24"/>
              </w:rPr>
              <w:t>经站内化粪池收集后排入污水管道，进入中法水务污水处理厂集中处置。</w:t>
            </w:r>
          </w:p>
          <w:p>
            <w:pPr>
              <w:spacing w:line="460" w:lineRule="exact"/>
              <w:ind w:firstLine="480" w:firstLineChars="200"/>
              <w:rPr>
                <w:rFonts w:ascii="宋体"/>
                <w:color w:val="auto"/>
                <w:sz w:val="24"/>
              </w:rPr>
            </w:pPr>
            <w:r>
              <w:rPr>
                <w:rFonts w:hint="eastAsia" w:ascii="宋体" w:hAnsi="宋体"/>
                <w:color w:val="auto"/>
                <w:sz w:val="24"/>
              </w:rPr>
              <w:t>（</w:t>
            </w:r>
            <w:r>
              <w:rPr>
                <w:rFonts w:ascii="宋体" w:hAnsi="宋体"/>
                <w:color w:val="auto"/>
                <w:sz w:val="24"/>
              </w:rPr>
              <w:t>4</w:t>
            </w:r>
            <w:r>
              <w:rPr>
                <w:rFonts w:hint="eastAsia" w:ascii="宋体" w:hAnsi="宋体"/>
                <w:color w:val="auto"/>
                <w:sz w:val="24"/>
              </w:rPr>
              <w:t>）固体废物防治措施</w:t>
            </w:r>
          </w:p>
          <w:p>
            <w:pPr>
              <w:spacing w:line="460" w:lineRule="exact"/>
              <w:ind w:firstLine="480" w:firstLineChars="200"/>
              <w:rPr>
                <w:rFonts w:ascii="宋体" w:cs="宋体"/>
                <w:color w:val="auto"/>
                <w:kern w:val="0"/>
                <w:sz w:val="24"/>
              </w:rPr>
            </w:pPr>
            <w:r>
              <w:rPr>
                <w:rFonts w:hint="eastAsia" w:ascii="宋体" w:cs="宋体"/>
                <w:color w:val="auto"/>
                <w:kern w:val="0"/>
                <w:sz w:val="24"/>
              </w:rPr>
              <w:t>本工程产生固体废物为</w:t>
            </w:r>
            <w:r>
              <w:rPr>
                <w:rFonts w:hint="eastAsia" w:ascii="宋体" w:cs="宋体"/>
                <w:color w:val="auto"/>
                <w:kern w:val="0"/>
                <w:sz w:val="24"/>
                <w:lang w:val="en-US" w:eastAsia="zh-CN"/>
              </w:rPr>
              <w:t>巡检</w:t>
            </w:r>
            <w:r>
              <w:rPr>
                <w:rFonts w:hint="eastAsia" w:ascii="宋体" w:cs="宋体"/>
                <w:color w:val="auto"/>
                <w:kern w:val="0"/>
                <w:sz w:val="24"/>
              </w:rPr>
              <w:t>人员产生的</w:t>
            </w:r>
            <w:r>
              <w:rPr>
                <w:rFonts w:hint="eastAsia" w:ascii="宋体" w:hAnsi="宋体"/>
                <w:color w:val="auto"/>
                <w:sz w:val="24"/>
                <w:lang w:val="en-US" w:eastAsia="zh-CN"/>
              </w:rPr>
              <w:t>少量</w:t>
            </w:r>
            <w:r>
              <w:rPr>
                <w:rFonts w:hint="eastAsia" w:ascii="宋体" w:cs="宋体"/>
                <w:color w:val="auto"/>
                <w:kern w:val="0"/>
                <w:sz w:val="24"/>
              </w:rPr>
              <w:t>生活垃圾，</w:t>
            </w:r>
            <w:r>
              <w:rPr>
                <w:rFonts w:hint="eastAsia" w:hAnsi="宋体"/>
                <w:snapToGrid w:val="0"/>
                <w:color w:val="auto"/>
                <w:kern w:val="0"/>
                <w:sz w:val="24"/>
              </w:rPr>
              <w:t>更换的废旧铅酸蓄电池以及事故状态下产生的废变压器油</w:t>
            </w:r>
            <w:r>
              <w:rPr>
                <w:rFonts w:hint="eastAsia" w:ascii="宋体" w:cs="宋体"/>
                <w:color w:val="auto"/>
                <w:kern w:val="0"/>
                <w:sz w:val="24"/>
              </w:rPr>
              <w:t>。</w:t>
            </w:r>
          </w:p>
          <w:p>
            <w:pPr>
              <w:spacing w:line="460" w:lineRule="exact"/>
              <w:ind w:firstLine="480" w:firstLineChars="200"/>
              <w:rPr>
                <w:rFonts w:ascii="宋体" w:cs="宋体"/>
                <w:color w:val="auto"/>
                <w:kern w:val="0"/>
                <w:sz w:val="24"/>
              </w:rPr>
            </w:pPr>
            <w:r>
              <w:rPr>
                <w:rFonts w:hint="eastAsia" w:ascii="宋体" w:cs="宋体"/>
                <w:color w:val="auto"/>
                <w:kern w:val="0"/>
                <w:sz w:val="24"/>
              </w:rPr>
              <w:t>生活垃圾防治措施：变电站内设有垃圾收集箱，生活垃圾集中堆放，由厂区内的环卫部门定期清运。</w:t>
            </w:r>
          </w:p>
          <w:p>
            <w:pPr>
              <w:spacing w:line="460" w:lineRule="exact"/>
              <w:ind w:firstLine="480" w:firstLineChars="200"/>
              <w:rPr>
                <w:rFonts w:hint="eastAsia" w:ascii="宋体" w:hAnsi="Times New Roman" w:cs="宋体"/>
                <w:color w:val="auto"/>
                <w:kern w:val="0"/>
                <w:sz w:val="24"/>
              </w:rPr>
            </w:pPr>
            <w:r>
              <w:rPr>
                <w:rFonts w:hint="eastAsia" w:ascii="宋体" w:cs="宋体"/>
                <w:color w:val="auto"/>
                <w:kern w:val="0"/>
                <w:sz w:val="24"/>
              </w:rPr>
              <w:t>废变压器油</w:t>
            </w:r>
            <w:r>
              <w:rPr>
                <w:rFonts w:hint="eastAsia" w:ascii="宋体" w:hAnsi="宋体"/>
                <w:color w:val="auto"/>
                <w:sz w:val="24"/>
              </w:rPr>
              <w:t>防治措施</w:t>
            </w:r>
            <w:r>
              <w:rPr>
                <w:rFonts w:hint="eastAsia" w:ascii="宋体" w:cs="宋体"/>
                <w:color w:val="auto"/>
                <w:kern w:val="0"/>
                <w:sz w:val="24"/>
              </w:rPr>
              <w:t>：变电站内建有贮油坑，按照《危险废物贮存污染控制标准》（GB18597-2001）要求，贮油均进行防渗处理，</w:t>
            </w:r>
            <w:r>
              <w:rPr>
                <w:rFonts w:hint="eastAsia" w:ascii="Times New Roman" w:hAnsi="宋体" w:cs="Times New Roman"/>
                <w:snapToGrid w:val="0"/>
                <w:color w:val="auto"/>
                <w:kern w:val="0"/>
                <w:sz w:val="24"/>
              </w:rPr>
              <w:t>变压器在发生事故时壳体内的油</w:t>
            </w:r>
            <w:r>
              <w:rPr>
                <w:rFonts w:hint="eastAsia" w:ascii="Times New Roman" w:hAnsi="宋体" w:cs="Times New Roman"/>
                <w:snapToGrid w:val="0"/>
                <w:color w:val="auto"/>
                <w:kern w:val="0"/>
                <w:sz w:val="24"/>
                <w:lang w:val="en-US" w:eastAsia="zh-CN"/>
              </w:rPr>
              <w:t>在</w:t>
            </w:r>
            <w:r>
              <w:rPr>
                <w:rFonts w:hint="eastAsia" w:ascii="Times New Roman" w:hAnsi="宋体" w:cs="Times New Roman"/>
                <w:snapToGrid w:val="0"/>
                <w:color w:val="auto"/>
                <w:kern w:val="0"/>
                <w:sz w:val="24"/>
              </w:rPr>
              <w:t>贮油坑临时贮存，最终由有资质的单位回收处理。经调查，本工程变电站自运行以来尚未产生废变压器油。建设单位已与</w:t>
            </w:r>
            <w:r>
              <w:rPr>
                <w:rFonts w:hint="eastAsia" w:ascii="Times New Roman" w:hAnsi="宋体" w:cs="Times New Roman"/>
                <w:snapToGrid w:val="0"/>
                <w:color w:val="auto"/>
                <w:kern w:val="0"/>
                <w:sz w:val="24"/>
                <w:lang w:val="en-US" w:eastAsia="zh-CN"/>
              </w:rPr>
              <w:t>山东卓泰油脂科技有限公司</w:t>
            </w:r>
            <w:r>
              <w:rPr>
                <w:rFonts w:hint="eastAsia" w:ascii="Times New Roman" w:hAnsi="宋体" w:cs="Times New Roman"/>
                <w:snapToGrid w:val="0"/>
                <w:color w:val="auto"/>
                <w:kern w:val="0"/>
                <w:sz w:val="24"/>
              </w:rPr>
              <w:t>签订</w:t>
            </w:r>
            <w:r>
              <w:rPr>
                <w:rFonts w:hint="eastAsia" w:ascii="Times New Roman" w:hAnsi="宋体" w:cs="Times New Roman"/>
                <w:snapToGrid w:val="0"/>
                <w:color w:val="auto"/>
                <w:kern w:val="0"/>
                <w:sz w:val="24"/>
                <w:lang w:val="en-US" w:eastAsia="zh-CN"/>
              </w:rPr>
              <w:t>废变压器油</w:t>
            </w:r>
            <w:r>
              <w:rPr>
                <w:rFonts w:hint="eastAsia" w:ascii="Times New Roman" w:hAnsi="宋体" w:cs="Times New Roman"/>
                <w:snapToGrid w:val="0"/>
                <w:color w:val="auto"/>
                <w:kern w:val="0"/>
                <w:sz w:val="24"/>
              </w:rPr>
              <w:t>回收处置协议</w:t>
            </w:r>
            <w:r>
              <w:rPr>
                <w:rFonts w:hint="eastAsia" w:ascii="宋体" w:hAnsi="Times New Roman" w:cs="宋体"/>
                <w:color w:val="auto"/>
                <w:kern w:val="0"/>
                <w:sz w:val="24"/>
              </w:rPr>
              <w:t>。</w:t>
            </w:r>
          </w:p>
          <w:p>
            <w:pPr>
              <w:spacing w:line="460" w:lineRule="exact"/>
              <w:ind w:firstLine="480" w:firstLineChars="200"/>
              <w:rPr>
                <w:rFonts w:hint="eastAsia" w:ascii="宋体" w:cs="宋体"/>
                <w:color w:val="auto"/>
                <w:kern w:val="0"/>
                <w:sz w:val="24"/>
              </w:rPr>
            </w:pPr>
            <w:r>
              <w:rPr>
                <w:rFonts w:hint="eastAsia" w:ascii="宋体" w:hAnsi="Times New Roman" w:cs="宋体"/>
                <w:color w:val="auto"/>
                <w:kern w:val="0"/>
                <w:sz w:val="24"/>
              </w:rPr>
              <w:t>废旧铅酸蓄电池防治措施：变电站铅酸蓄电池更换频率为6～10年，即6～10年产生1组废旧铅酸蓄电池，废旧铅酸蓄电池产生后须由具有相应资质的单位回收处理，避免对环境造成不利影响。经调查，本工程变电站自运行以来尚未产生废旧铅酸蓄电池。建设单位已与</w:t>
            </w:r>
            <w:r>
              <w:rPr>
                <w:rFonts w:hint="eastAsia" w:ascii="宋体" w:cs="宋体"/>
                <w:color w:val="auto"/>
                <w:kern w:val="0"/>
                <w:sz w:val="24"/>
                <w:lang w:val="en-US" w:eastAsia="zh-CN"/>
              </w:rPr>
              <w:t>青岛北方天源再生资源有限公司</w:t>
            </w:r>
            <w:r>
              <w:rPr>
                <w:rFonts w:hint="eastAsia" w:ascii="宋体" w:cs="宋体"/>
                <w:color w:val="auto"/>
                <w:kern w:val="0"/>
                <w:sz w:val="24"/>
              </w:rPr>
              <w:t>签订</w:t>
            </w:r>
            <w:r>
              <w:rPr>
                <w:rFonts w:hint="eastAsia" w:ascii="宋体" w:hAnsi="宋体"/>
                <w:color w:val="auto"/>
                <w:sz w:val="24"/>
              </w:rPr>
              <w:t>废旧铅酸蓄电池</w:t>
            </w:r>
            <w:r>
              <w:rPr>
                <w:rFonts w:hint="eastAsia" w:ascii="宋体" w:cs="宋体"/>
                <w:color w:val="auto"/>
                <w:kern w:val="0"/>
                <w:sz w:val="24"/>
              </w:rPr>
              <w:t>回收处置协议。</w:t>
            </w:r>
          </w:p>
          <w:p>
            <w:pPr>
              <w:spacing w:line="360" w:lineRule="auto"/>
              <w:ind w:firstLine="482" w:firstLineChars="200"/>
              <w:rPr>
                <w:rFonts w:ascii="宋体"/>
                <w:b/>
                <w:color w:val="auto"/>
                <w:sz w:val="24"/>
              </w:rPr>
            </w:pPr>
            <w:r>
              <w:rPr>
                <w:rFonts w:hint="eastAsia" w:ascii="宋体" w:hAnsi="宋体"/>
                <w:b/>
                <w:color w:val="auto"/>
                <w:sz w:val="24"/>
              </w:rPr>
              <w:t>6、环境影响评价</w:t>
            </w:r>
          </w:p>
          <w:p>
            <w:pPr>
              <w:spacing w:line="360" w:lineRule="auto"/>
              <w:ind w:firstLine="480" w:firstLineChars="200"/>
              <w:rPr>
                <w:rFonts w:ascii="宋体" w:hAnsi="宋体"/>
                <w:snapToGrid w:val="0"/>
                <w:color w:val="auto"/>
                <w:kern w:val="0"/>
                <w:sz w:val="24"/>
              </w:rPr>
            </w:pPr>
            <w:r>
              <w:rPr>
                <w:rFonts w:hint="eastAsia" w:ascii="宋体" w:hAnsi="宋体"/>
                <w:snapToGrid w:val="0"/>
                <w:color w:val="auto"/>
                <w:kern w:val="0"/>
                <w:sz w:val="24"/>
              </w:rPr>
              <w:t>（1）电磁环境影响评价</w:t>
            </w:r>
          </w:p>
          <w:p>
            <w:pPr>
              <w:spacing w:line="360" w:lineRule="auto"/>
              <w:ind w:firstLine="480" w:firstLineChars="200"/>
              <w:rPr>
                <w:rFonts w:ascii="宋体" w:hAnsi="宋体"/>
                <w:snapToGrid w:val="0"/>
                <w:color w:val="auto"/>
                <w:kern w:val="0"/>
                <w:sz w:val="24"/>
              </w:rPr>
            </w:pPr>
            <w:r>
              <w:rPr>
                <w:rFonts w:hint="eastAsia" w:ascii="宋体" w:hAnsi="宋体"/>
                <w:snapToGrid w:val="0"/>
                <w:color w:val="auto"/>
                <w:kern w:val="0"/>
                <w:sz w:val="24"/>
              </w:rPr>
              <w:t>根据现状检测数据，本工程变电站和输电线路周围的工频电场强度、工频磁感应强度满足相应环保标准要求。</w:t>
            </w:r>
          </w:p>
          <w:p>
            <w:pPr>
              <w:spacing w:line="360" w:lineRule="auto"/>
              <w:ind w:firstLine="480" w:firstLineChars="200"/>
              <w:rPr>
                <w:rFonts w:ascii="宋体" w:hAnsi="宋体"/>
                <w:snapToGrid w:val="0"/>
                <w:color w:val="auto"/>
                <w:kern w:val="0"/>
                <w:sz w:val="24"/>
              </w:rPr>
            </w:pPr>
            <w:r>
              <w:rPr>
                <w:rFonts w:hint="eastAsia" w:ascii="宋体" w:hAnsi="宋体"/>
                <w:snapToGrid w:val="0"/>
                <w:color w:val="auto"/>
                <w:kern w:val="0"/>
                <w:sz w:val="24"/>
              </w:rPr>
              <w:t>（2） 声环境影响评价</w:t>
            </w:r>
          </w:p>
          <w:p>
            <w:pPr>
              <w:spacing w:line="360" w:lineRule="auto"/>
              <w:ind w:firstLine="480" w:firstLineChars="200"/>
              <w:rPr>
                <w:rFonts w:hint="eastAsia" w:ascii="宋体" w:hAnsi="宋体"/>
                <w:snapToGrid w:val="0"/>
                <w:color w:val="auto"/>
                <w:kern w:val="0"/>
                <w:sz w:val="24"/>
                <w:lang w:val="en-US" w:eastAsia="zh-CN"/>
              </w:rPr>
            </w:pPr>
            <w:r>
              <w:rPr>
                <w:rFonts w:hint="eastAsia" w:ascii="宋体" w:hAnsi="宋体"/>
                <w:snapToGrid w:val="0"/>
                <w:color w:val="auto"/>
                <w:kern w:val="0"/>
                <w:sz w:val="24"/>
                <w:lang w:val="en-US" w:eastAsia="zh-CN"/>
              </w:rPr>
              <w:t>2018年11月</w:t>
            </w:r>
            <w:r>
              <w:rPr>
                <w:rFonts w:hint="eastAsia" w:ascii="宋体" w:hAnsi="宋体"/>
                <w:snapToGrid w:val="0"/>
                <w:color w:val="auto"/>
                <w:kern w:val="0"/>
                <w:sz w:val="24"/>
              </w:rPr>
              <w:t>青岛中维安全检测有限公司</w:t>
            </w:r>
            <w:r>
              <w:rPr>
                <w:rFonts w:hint="eastAsia" w:ascii="宋体" w:hAnsi="宋体"/>
                <w:snapToGrid w:val="0"/>
                <w:color w:val="auto"/>
                <w:kern w:val="0"/>
                <w:sz w:val="24"/>
                <w:lang w:val="en-US" w:eastAsia="zh-CN"/>
              </w:rPr>
              <w:t>对青岛特钢厂区边界噪声进行验收监测，监测结果符合</w:t>
            </w:r>
            <w:r>
              <w:rPr>
                <w:rFonts w:hint="eastAsia" w:ascii="宋体" w:hAnsi="宋体"/>
                <w:snapToGrid w:val="0"/>
                <w:color w:val="auto"/>
                <w:kern w:val="0"/>
                <w:sz w:val="24"/>
              </w:rPr>
              <w:t>厂界噪声《工业企业厂界环境噪声排放标准》 ( GB12348-2008)中3类区标准（</w:t>
            </w:r>
            <w:r>
              <w:rPr>
                <w:rFonts w:hint="eastAsia" w:ascii="宋体" w:hAnsi="宋体" w:cs="Times New Roman"/>
                <w:color w:val="auto"/>
                <w:kern w:val="0"/>
                <w:sz w:val="24"/>
                <w:lang w:eastAsia="zh-CN"/>
              </w:rPr>
              <w:t>昼间65dB（A）、夜间55dB（A）</w:t>
            </w:r>
            <w:r>
              <w:rPr>
                <w:rFonts w:hint="eastAsia" w:ascii="宋体" w:hAnsi="宋体"/>
                <w:snapToGrid w:val="0"/>
                <w:color w:val="auto"/>
                <w:kern w:val="0"/>
                <w:sz w:val="24"/>
              </w:rPr>
              <w:t>）</w:t>
            </w:r>
            <w:r>
              <w:rPr>
                <w:rFonts w:hint="eastAsia" w:ascii="宋体" w:hAnsi="宋体"/>
                <w:snapToGrid w:val="0"/>
                <w:color w:val="auto"/>
                <w:kern w:val="0"/>
                <w:sz w:val="24"/>
                <w:lang w:val="en-US" w:eastAsia="zh-CN"/>
              </w:rPr>
              <w:t>要求。</w:t>
            </w:r>
          </w:p>
          <w:p>
            <w:pPr>
              <w:spacing w:line="360" w:lineRule="auto"/>
              <w:ind w:firstLine="480" w:firstLineChars="200"/>
              <w:rPr>
                <w:rFonts w:ascii="宋体" w:hAnsi="宋体"/>
                <w:snapToGrid w:val="0"/>
                <w:color w:val="auto"/>
                <w:kern w:val="0"/>
                <w:sz w:val="24"/>
              </w:rPr>
            </w:pPr>
            <w:r>
              <w:rPr>
                <w:rFonts w:hint="eastAsia" w:ascii="宋体" w:hAnsi="宋体"/>
                <w:snapToGrid w:val="0"/>
                <w:color w:val="auto"/>
                <w:kern w:val="0"/>
                <w:sz w:val="24"/>
              </w:rPr>
              <w:t>（3）水环境影响评价</w:t>
            </w:r>
          </w:p>
          <w:p>
            <w:pPr>
              <w:spacing w:line="360" w:lineRule="auto"/>
              <w:ind w:firstLine="480" w:firstLineChars="200"/>
              <w:rPr>
                <w:rFonts w:ascii="宋体" w:hAnsi="宋体"/>
                <w:snapToGrid w:val="0"/>
                <w:color w:val="auto"/>
                <w:kern w:val="0"/>
                <w:sz w:val="24"/>
              </w:rPr>
            </w:pPr>
            <w:r>
              <w:rPr>
                <w:rFonts w:hint="eastAsia" w:ascii="宋体" w:hAnsi="宋体"/>
                <w:snapToGrid w:val="0"/>
                <w:color w:val="auto"/>
                <w:kern w:val="0"/>
                <w:sz w:val="24"/>
              </w:rPr>
              <w:t>变电站</w:t>
            </w:r>
            <w:r>
              <w:rPr>
                <w:rFonts w:hint="eastAsia" w:ascii="宋体" w:hAnsi="宋体"/>
                <w:snapToGrid w:val="0"/>
                <w:color w:val="auto"/>
                <w:kern w:val="0"/>
                <w:sz w:val="24"/>
                <w:lang w:val="en-US" w:eastAsia="zh-CN"/>
              </w:rPr>
              <w:t>巡检</w:t>
            </w:r>
            <w:r>
              <w:rPr>
                <w:rFonts w:hint="eastAsia" w:ascii="宋体" w:hAnsi="宋体"/>
                <w:snapToGrid w:val="0"/>
                <w:color w:val="auto"/>
                <w:kern w:val="0"/>
                <w:sz w:val="24"/>
              </w:rPr>
              <w:t>人员产生的</w:t>
            </w:r>
            <w:r>
              <w:rPr>
                <w:rFonts w:hint="eastAsia" w:ascii="宋体" w:hAnsi="宋体"/>
                <w:snapToGrid w:val="0"/>
                <w:color w:val="auto"/>
                <w:kern w:val="0"/>
                <w:sz w:val="24"/>
                <w:lang w:val="en-US" w:eastAsia="zh-CN"/>
              </w:rPr>
              <w:t>少量</w:t>
            </w:r>
            <w:r>
              <w:rPr>
                <w:rFonts w:hint="eastAsia" w:ascii="宋体" w:hAnsi="宋体"/>
                <w:snapToGrid w:val="0"/>
                <w:color w:val="auto"/>
                <w:kern w:val="0"/>
                <w:sz w:val="24"/>
              </w:rPr>
              <w:t>生活污水经站内化粪池收集后排入污水管道，进入中法水务污水处理厂集中处置</w:t>
            </w:r>
            <w:r>
              <w:rPr>
                <w:rFonts w:hint="eastAsia" w:ascii="宋体" w:hAnsi="宋体"/>
                <w:bCs/>
                <w:color w:val="auto"/>
                <w:sz w:val="24"/>
              </w:rPr>
              <w:t>。</w:t>
            </w:r>
          </w:p>
          <w:p>
            <w:pPr>
              <w:spacing w:line="360" w:lineRule="auto"/>
              <w:ind w:firstLine="480" w:firstLineChars="200"/>
              <w:rPr>
                <w:rFonts w:ascii="宋体" w:hAnsi="宋体"/>
                <w:snapToGrid w:val="0"/>
                <w:color w:val="auto"/>
                <w:kern w:val="0"/>
                <w:sz w:val="24"/>
              </w:rPr>
            </w:pPr>
            <w:r>
              <w:rPr>
                <w:rFonts w:hint="eastAsia" w:ascii="宋体" w:hAnsi="宋体"/>
                <w:snapToGrid w:val="0"/>
                <w:color w:val="auto"/>
                <w:kern w:val="0"/>
                <w:sz w:val="24"/>
              </w:rPr>
              <w:t>（4）固体废物影响评价</w:t>
            </w:r>
          </w:p>
          <w:p>
            <w:pPr>
              <w:tabs>
                <w:tab w:val="right" w:pos="9412"/>
              </w:tabs>
              <w:spacing w:line="360" w:lineRule="auto"/>
              <w:ind w:firstLine="480" w:firstLineChars="200"/>
              <w:rPr>
                <w:rFonts w:ascii="宋体" w:cs="宋体"/>
                <w:color w:val="auto"/>
                <w:kern w:val="0"/>
                <w:sz w:val="24"/>
              </w:rPr>
            </w:pPr>
            <w:r>
              <w:rPr>
                <w:rFonts w:hint="eastAsia" w:ascii="宋体" w:cs="宋体"/>
                <w:color w:val="auto"/>
                <w:kern w:val="0"/>
                <w:sz w:val="24"/>
              </w:rPr>
              <w:t>本工程产生固体废物为</w:t>
            </w:r>
            <w:r>
              <w:rPr>
                <w:rFonts w:hint="eastAsia" w:ascii="宋体" w:cs="宋体"/>
                <w:color w:val="auto"/>
                <w:kern w:val="0"/>
                <w:sz w:val="24"/>
                <w:lang w:val="en-US" w:eastAsia="zh-CN"/>
              </w:rPr>
              <w:t>巡检</w:t>
            </w:r>
            <w:r>
              <w:rPr>
                <w:rFonts w:hint="eastAsia" w:ascii="宋体" w:cs="宋体"/>
                <w:color w:val="auto"/>
                <w:kern w:val="0"/>
                <w:sz w:val="24"/>
              </w:rPr>
              <w:t>人员产生</w:t>
            </w:r>
            <w:r>
              <w:rPr>
                <w:rFonts w:hint="eastAsia" w:ascii="宋体" w:hAnsi="宋体"/>
                <w:snapToGrid w:val="0"/>
                <w:color w:val="auto"/>
                <w:kern w:val="0"/>
                <w:sz w:val="24"/>
                <w:lang w:val="en-US" w:eastAsia="zh-CN"/>
              </w:rPr>
              <w:t>少量</w:t>
            </w:r>
            <w:r>
              <w:rPr>
                <w:rFonts w:hint="eastAsia" w:ascii="宋体" w:cs="宋体"/>
                <w:color w:val="auto"/>
                <w:kern w:val="0"/>
                <w:sz w:val="24"/>
              </w:rPr>
              <w:t>的生活垃圾，</w:t>
            </w:r>
            <w:r>
              <w:rPr>
                <w:rFonts w:hint="eastAsia" w:hAnsi="宋体"/>
                <w:snapToGrid w:val="0"/>
                <w:color w:val="auto"/>
                <w:kern w:val="0"/>
                <w:sz w:val="24"/>
              </w:rPr>
              <w:t>更换的废旧铅酸蓄电池以及事故状态下产生的废变压器油</w:t>
            </w:r>
            <w:r>
              <w:rPr>
                <w:rFonts w:hint="eastAsia" w:ascii="宋体" w:cs="宋体"/>
                <w:color w:val="auto"/>
                <w:kern w:val="0"/>
                <w:sz w:val="24"/>
              </w:rPr>
              <w:t>。</w:t>
            </w:r>
          </w:p>
          <w:p>
            <w:pPr>
              <w:tabs>
                <w:tab w:val="right" w:pos="9412"/>
              </w:tabs>
              <w:spacing w:line="360" w:lineRule="auto"/>
              <w:ind w:firstLine="480" w:firstLineChars="200"/>
              <w:rPr>
                <w:rFonts w:ascii="宋体" w:hAnsi="宋体"/>
                <w:snapToGrid w:val="0"/>
                <w:color w:val="auto"/>
                <w:kern w:val="0"/>
                <w:sz w:val="24"/>
              </w:rPr>
            </w:pPr>
            <w:r>
              <w:rPr>
                <w:rFonts w:hint="eastAsia" w:ascii="宋体" w:cs="宋体"/>
                <w:color w:val="auto"/>
                <w:kern w:val="0"/>
                <w:sz w:val="24"/>
              </w:rPr>
              <w:t>变电站内设有垃圾收集箱，生活垃圾集中堆放，由厂区内的环卫部门定期清运；</w:t>
            </w:r>
            <w:r>
              <w:rPr>
                <w:rFonts w:hint="eastAsia" w:ascii="宋体" w:hAnsi="宋体"/>
                <w:snapToGrid w:val="0"/>
                <w:color w:val="auto"/>
                <w:kern w:val="0"/>
                <w:sz w:val="24"/>
              </w:rPr>
              <w:t>报废的铅酸蓄电池（HW49 900-044-49）、废变压器油（HW08 900-220-08）作为危险废物委托具有危废处置资质的单位处置；废变压器（不含废变压器油）按照废旧物资处置。</w:t>
            </w:r>
          </w:p>
          <w:p>
            <w:pPr>
              <w:spacing w:line="360" w:lineRule="auto"/>
              <w:ind w:firstLine="480" w:firstLineChars="200"/>
              <w:rPr>
                <w:rFonts w:ascii="宋体" w:hAnsi="宋体"/>
                <w:snapToGrid w:val="0"/>
                <w:color w:val="auto"/>
                <w:kern w:val="0"/>
                <w:sz w:val="24"/>
              </w:rPr>
            </w:pPr>
            <w:r>
              <w:rPr>
                <w:rFonts w:hint="eastAsia" w:ascii="宋体" w:hAnsi="宋体"/>
                <w:snapToGrid w:val="0"/>
                <w:color w:val="auto"/>
                <w:kern w:val="0"/>
                <w:sz w:val="24"/>
              </w:rPr>
              <w:t>（4）生态环境影响评价</w:t>
            </w:r>
          </w:p>
          <w:p>
            <w:pPr>
              <w:spacing w:line="360" w:lineRule="auto"/>
              <w:ind w:firstLine="480" w:firstLineChars="200"/>
              <w:rPr>
                <w:rFonts w:ascii="宋体" w:hAnsi="宋体"/>
                <w:color w:val="auto"/>
                <w:sz w:val="24"/>
              </w:rPr>
            </w:pPr>
            <w:r>
              <w:rPr>
                <w:rFonts w:hint="eastAsia" w:ascii="宋体" w:hAnsi="宋体"/>
                <w:color w:val="auto"/>
                <w:sz w:val="24"/>
              </w:rPr>
              <w:t>本工程变电站已建成投运，站内已进行土地固化处理，在多年运行过程中对周围生态环境影响较小。</w:t>
            </w:r>
          </w:p>
          <w:p>
            <w:pPr>
              <w:spacing w:line="360" w:lineRule="auto"/>
              <w:ind w:firstLine="480" w:firstLineChars="200"/>
              <w:rPr>
                <w:rFonts w:ascii="宋体" w:hAnsi="宋体"/>
                <w:color w:val="auto"/>
                <w:sz w:val="24"/>
              </w:rPr>
            </w:pPr>
            <w:r>
              <w:rPr>
                <w:rFonts w:hint="eastAsia" w:ascii="宋体" w:hAnsi="宋体"/>
                <w:color w:val="auto"/>
                <w:sz w:val="24"/>
              </w:rPr>
              <w:t>输电线路（空中电缆管廊）全部位于青岛特钢厂区内，对周围生态环境影响较小。</w:t>
            </w:r>
          </w:p>
          <w:p>
            <w:pPr>
              <w:spacing w:line="360" w:lineRule="auto"/>
              <w:ind w:firstLine="482" w:firstLineChars="200"/>
              <w:rPr>
                <w:rFonts w:ascii="宋体"/>
                <w:b/>
                <w:color w:val="auto"/>
                <w:sz w:val="24"/>
              </w:rPr>
            </w:pPr>
            <w:r>
              <w:rPr>
                <w:rFonts w:hint="eastAsia" w:ascii="宋体" w:hAnsi="宋体"/>
                <w:b/>
                <w:color w:val="auto"/>
                <w:sz w:val="24"/>
              </w:rPr>
              <w:t>7、环境风险分析</w:t>
            </w:r>
          </w:p>
          <w:p>
            <w:pPr>
              <w:adjustRightInd w:val="0"/>
              <w:spacing w:line="360" w:lineRule="auto"/>
              <w:ind w:firstLine="480" w:firstLineChars="200"/>
              <w:rPr>
                <w:rFonts w:ascii="宋体"/>
                <w:color w:val="auto"/>
                <w:sz w:val="24"/>
              </w:rPr>
            </w:pPr>
            <w:r>
              <w:rPr>
                <w:rFonts w:hint="eastAsia" w:ascii="宋体" w:hAnsi="宋体"/>
                <w:color w:val="auto"/>
                <w:sz w:val="24"/>
              </w:rPr>
              <w:t>针对可能发生的环境风险，</w:t>
            </w:r>
            <w:r>
              <w:rPr>
                <w:rFonts w:hint="eastAsia"/>
                <w:snapToGrid w:val="0"/>
                <w:color w:val="auto"/>
                <w:kern w:val="0"/>
                <w:sz w:val="24"/>
              </w:rPr>
              <w:t>在与有资质单位签订废变压器油和废旧铅酸蓄电池回收处置协议后，</w:t>
            </w:r>
            <w:r>
              <w:rPr>
                <w:rFonts w:hint="eastAsia" w:ascii="宋体" w:hAnsi="宋体"/>
                <w:color w:val="auto"/>
                <w:sz w:val="24"/>
              </w:rPr>
              <w:t>建设单位采取的防范措施可将风险事故降到较低的水平，其环境风险影响可以接受。</w:t>
            </w:r>
          </w:p>
          <w:p>
            <w:pPr>
              <w:tabs>
                <w:tab w:val="right" w:pos="9412"/>
              </w:tabs>
              <w:spacing w:line="360" w:lineRule="auto"/>
              <w:ind w:firstLine="480" w:firstLineChars="200"/>
              <w:rPr>
                <w:rFonts w:ascii="宋体" w:hAnsi="宋体"/>
                <w:color w:val="auto"/>
                <w:sz w:val="24"/>
              </w:rPr>
            </w:pPr>
            <w:r>
              <w:rPr>
                <w:rFonts w:hint="eastAsia" w:ascii="宋体" w:hAnsi="宋体"/>
                <w:color w:val="auto"/>
                <w:sz w:val="24"/>
              </w:rPr>
              <w:t>综上所述，</w:t>
            </w:r>
            <w:r>
              <w:rPr>
                <w:rFonts w:hint="eastAsia" w:ascii="宋体" w:cs="宋体"/>
                <w:color w:val="auto"/>
                <w:kern w:val="0"/>
                <w:sz w:val="24"/>
                <w:lang w:val="en-US" w:eastAsia="zh-CN"/>
              </w:rPr>
              <w:t>炼铁鼓风110kV变配电站工程的</w:t>
            </w:r>
            <w:r>
              <w:rPr>
                <w:rFonts w:hint="eastAsia" w:ascii="宋体" w:hAnsi="宋体"/>
                <w:color w:val="auto"/>
                <w:sz w:val="24"/>
              </w:rPr>
              <w:t>继续运行从环境保护角度分析是</w:t>
            </w:r>
            <w:r>
              <w:rPr>
                <w:rFonts w:hint="eastAsia" w:ascii="宋体" w:hAnsi="宋体"/>
                <w:color w:val="auto"/>
                <w:sz w:val="24"/>
                <w:lang w:val="en-US" w:eastAsia="zh-CN"/>
              </w:rPr>
              <w:t>可靠</w:t>
            </w:r>
            <w:r>
              <w:rPr>
                <w:rFonts w:hint="eastAsia" w:ascii="宋体" w:hAnsi="宋体"/>
                <w:color w:val="auto"/>
                <w:sz w:val="24"/>
              </w:rPr>
              <w:t>的。</w:t>
            </w:r>
          </w:p>
          <w:p>
            <w:pPr>
              <w:adjustRightInd w:val="0"/>
              <w:spacing w:line="360" w:lineRule="auto"/>
              <w:rPr>
                <w:rFonts w:ascii="黑体" w:eastAsia="黑体"/>
                <w:snapToGrid w:val="0"/>
                <w:color w:val="auto"/>
                <w:kern w:val="0"/>
                <w:sz w:val="28"/>
                <w:szCs w:val="28"/>
              </w:rPr>
            </w:pPr>
            <w:r>
              <w:rPr>
                <w:rFonts w:ascii="黑体" w:eastAsia="黑体"/>
                <w:snapToGrid w:val="0"/>
                <w:color w:val="auto"/>
                <w:kern w:val="0"/>
                <w:sz w:val="28"/>
                <w:szCs w:val="28"/>
              </w:rPr>
              <w:t xml:space="preserve">9.2 </w:t>
            </w:r>
            <w:r>
              <w:rPr>
                <w:rFonts w:hint="eastAsia" w:ascii="黑体" w:eastAsia="黑体"/>
                <w:snapToGrid w:val="0"/>
                <w:color w:val="auto"/>
                <w:kern w:val="0"/>
                <w:sz w:val="28"/>
                <w:szCs w:val="28"/>
              </w:rPr>
              <w:t>建议</w:t>
            </w:r>
          </w:p>
          <w:p>
            <w:pPr>
              <w:spacing w:line="360" w:lineRule="auto"/>
              <w:ind w:firstLine="403" w:firstLineChars="168"/>
              <w:rPr>
                <w:rFonts w:ascii="宋体" w:hAnsi="宋体"/>
                <w:snapToGrid w:val="0"/>
                <w:color w:val="auto"/>
                <w:kern w:val="0"/>
                <w:sz w:val="24"/>
              </w:rPr>
            </w:pPr>
            <w:r>
              <w:rPr>
                <w:rFonts w:hint="eastAsia" w:ascii="宋体" w:hAnsi="宋体"/>
                <w:snapToGrid w:val="0"/>
                <w:color w:val="auto"/>
                <w:kern w:val="0"/>
                <w:sz w:val="24"/>
              </w:rPr>
              <w:t>企业应将环境保护教育纳入教育培训计划。在组织安全教育培训时，应针对工程的实际，将环境保护的措施和要求，以及环境保护的法律、法规知识作为教育培训的重要内容，对职工进行培训教育。</w:t>
            </w:r>
          </w:p>
          <w:p>
            <w:pPr>
              <w:spacing w:line="360" w:lineRule="auto"/>
              <w:ind w:firstLine="403" w:firstLineChars="168"/>
              <w:rPr>
                <w:rFonts w:ascii="宋体" w:hAnsi="宋体"/>
                <w:snapToGrid w:val="0"/>
                <w:color w:val="auto"/>
                <w:kern w:val="0"/>
                <w:sz w:val="24"/>
              </w:rPr>
            </w:pPr>
          </w:p>
        </w:tc>
      </w:tr>
    </w:tbl>
    <w:p>
      <w:pPr>
        <w:adjustRightInd w:val="0"/>
        <w:spacing w:line="360" w:lineRule="auto"/>
        <w:rPr>
          <w:rFonts w:ascii="黑体" w:eastAsia="黑体"/>
          <w:snapToGrid w:val="0"/>
          <w:color w:val="000000"/>
          <w:kern w:val="0"/>
          <w:sz w:val="28"/>
          <w:szCs w:val="28"/>
        </w:rPr>
        <w:sectPr>
          <w:pgSz w:w="11906" w:h="16838"/>
          <w:pgMar w:top="1418" w:right="1247" w:bottom="1418" w:left="1247" w:header="851" w:footer="992" w:gutter="0"/>
          <w:pgNumType w:fmt="numberInDash"/>
          <w:cols w:space="720" w:num="1"/>
          <w:titlePg/>
          <w:docGrid w:type="lines" w:linePitch="312" w:charSpace="0"/>
        </w:sectPr>
      </w:pPr>
    </w:p>
    <w:tbl>
      <w:tblPr>
        <w:tblStyle w:val="22"/>
        <w:tblW w:w="9281" w:type="dxa"/>
        <w:tblInd w:w="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 w:hRule="atLeast"/>
        </w:trPr>
        <w:tc>
          <w:tcPr>
            <w:tcW w:w="9281" w:type="dxa"/>
          </w:tcPr>
          <w:p>
            <w:pPr>
              <w:adjustRightInd w:val="0"/>
              <w:spacing w:line="360" w:lineRule="auto"/>
              <w:rPr>
                <w:rFonts w:ascii="黑体" w:eastAsia="黑体"/>
                <w:snapToGrid w:val="0"/>
                <w:color w:val="000000"/>
                <w:kern w:val="0"/>
                <w:sz w:val="28"/>
                <w:szCs w:val="28"/>
              </w:rPr>
            </w:pPr>
            <w:r>
              <w:rPr>
                <w:rFonts w:hint="eastAsia" w:ascii="黑体" w:eastAsia="黑体"/>
                <w:snapToGrid w:val="0"/>
                <w:color w:val="000000"/>
                <w:kern w:val="0"/>
                <w:sz w:val="28"/>
                <w:szCs w:val="28"/>
              </w:rPr>
              <w:t>县（区）环保局部门意见</w:t>
            </w: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r>
              <w:rPr>
                <w:rFonts w:hint="eastAsia" w:ascii="黑体" w:eastAsia="黑体"/>
                <w:snapToGrid w:val="0"/>
                <w:color w:val="000000"/>
                <w:kern w:val="0"/>
                <w:sz w:val="28"/>
                <w:szCs w:val="28"/>
              </w:rPr>
              <w:t>经办人签字：</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单位盖章</w:t>
            </w:r>
          </w:p>
          <w:p>
            <w:pPr>
              <w:adjustRightInd w:val="0"/>
              <w:spacing w:line="360" w:lineRule="auto"/>
              <w:rPr>
                <w:rFonts w:ascii="黑体" w:eastAsia="黑体"/>
                <w:snapToGrid w:val="0"/>
                <w:color w:val="000000"/>
                <w:kern w:val="0"/>
                <w:sz w:val="28"/>
                <w:szCs w:val="28"/>
              </w:rPr>
            </w:pP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年</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月</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 w:hRule="atLeast"/>
        </w:trPr>
        <w:tc>
          <w:tcPr>
            <w:tcW w:w="9281" w:type="dxa"/>
          </w:tcPr>
          <w:p>
            <w:pPr>
              <w:adjustRightInd w:val="0"/>
              <w:spacing w:line="360" w:lineRule="auto"/>
              <w:rPr>
                <w:rFonts w:ascii="黑体" w:eastAsia="黑体"/>
                <w:snapToGrid w:val="0"/>
                <w:color w:val="000000"/>
                <w:kern w:val="0"/>
                <w:sz w:val="28"/>
                <w:szCs w:val="28"/>
              </w:rPr>
            </w:pPr>
            <w:r>
              <w:rPr>
                <w:rFonts w:hint="eastAsia" w:ascii="黑体" w:eastAsia="黑体"/>
                <w:snapToGrid w:val="0"/>
                <w:color w:val="000000"/>
                <w:kern w:val="0"/>
                <w:sz w:val="28"/>
                <w:szCs w:val="28"/>
              </w:rPr>
              <w:t>市级环保局部门意见</w:t>
            </w: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r>
              <w:rPr>
                <w:rFonts w:hint="eastAsia" w:ascii="黑体" w:eastAsia="黑体"/>
                <w:snapToGrid w:val="0"/>
                <w:color w:val="000000"/>
                <w:kern w:val="0"/>
                <w:sz w:val="28"/>
                <w:szCs w:val="28"/>
              </w:rPr>
              <w:t>经办人签字：</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单位盖章</w:t>
            </w:r>
          </w:p>
          <w:p>
            <w:pPr>
              <w:adjustRightInd w:val="0"/>
              <w:spacing w:line="360" w:lineRule="auto"/>
              <w:rPr>
                <w:rFonts w:ascii="黑体" w:eastAsia="黑体"/>
                <w:snapToGrid w:val="0"/>
                <w:color w:val="000000"/>
                <w:kern w:val="0"/>
                <w:sz w:val="28"/>
                <w:szCs w:val="28"/>
              </w:rPr>
            </w:pP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年</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月</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日</w:t>
            </w:r>
          </w:p>
        </w:tc>
      </w:tr>
    </w:tbl>
    <w:p>
      <w:pPr>
        <w:spacing w:line="360" w:lineRule="auto"/>
        <w:rPr>
          <w:color w:val="000000"/>
          <w:sz w:val="52"/>
          <w:szCs w:val="52"/>
        </w:rPr>
      </w:pPr>
    </w:p>
    <w:sectPr>
      <w:footerReference r:id="rId6" w:type="first"/>
      <w:footerReference r:id="rId5" w:type="default"/>
      <w:pgSz w:w="11906" w:h="16838"/>
      <w:pgMar w:top="1418" w:right="1247" w:bottom="1418" w:left="1247" w:header="851" w:footer="992" w:gutter="0"/>
      <w:pgNumType w:fmt="numberInDash"/>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PMingLiU">
    <w:panose1 w:val="02020500000000000000"/>
    <w:charset w:val="88"/>
    <w:family w:val="roman"/>
    <w:pitch w:val="default"/>
    <w:sig w:usb0="A00002FF" w:usb1="28CFFCFA" w:usb2="00000016" w:usb3="00000000" w:csb0="00100001"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Adobe 宋体 Std L">
    <w:altName w:val="宋体"/>
    <w:panose1 w:val="02020300000000000000"/>
    <w:charset w:val="86"/>
    <w:family w:val="roman"/>
    <w:pitch w:val="default"/>
    <w:sig w:usb0="00000000" w:usb1="00000000" w:usb2="00000016" w:usb3="00000000" w:csb0="00060007" w:csb1="00000000"/>
  </w:font>
  <w:font w:name="Tahoma">
    <w:panose1 w:val="020B0604030504040204"/>
    <w:charset w:val="00"/>
    <w:family w:val="swiss"/>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w:rPr>
        <w:sz w:val="18"/>
      </w:rPr>
      <w:pict>
        <v:shape id="_x0000_s3078" o:spid="_x0000_s3078" o:spt="202" type="#_x0000_t202" style="position:absolute;left:0pt;margin-top:0pt;height:144pt;width:144pt;mso-position-horizontal:center;mso-position-horizontal-relative:margin;mso-wrap-style:none;z-index:251658240;mso-width-relative:page;mso-height-relative:page;" filled="f" stroked="f" coordsize="21600,21600">
          <v:path/>
          <v:fill on="f" focussize="0,0"/>
          <v:stroke on="f"/>
          <v:imagedata o:title=""/>
          <o:lock v:ext="edit" aspectratio="f"/>
          <v:textbox inset="0mm,0mm,0mm,0mm" style="mso-fit-shape-to-text:t;">
            <w:txbxContent>
              <w:p>
                <w:pPr>
                  <w:pStyle w:val="1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- 2 -</w:t>
                </w:r>
                <w:r>
                  <w:rPr>
                    <w:rFonts w:hint="eastAsia"/>
                    <w:lang w:eastAsia="zh-CN"/>
                  </w:rP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tabs>
        <w:tab w:val="clear" w:pos="4153"/>
      </w:tabs>
      <w:jc w:val="center"/>
    </w:pPr>
    <w:r>
      <w:rPr>
        <w:sz w:val="18"/>
      </w:rPr>
      <w:pict>
        <v:shape id="_x0000_s3073" o:spid="_x0000_s3073"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v:imagedata o:title=""/>
          <o:lock v:ext="edit" aspectratio="f"/>
          <v:textbox inset="0mm,0mm,0mm,0mm" style="mso-fit-shape-to-text:t;">
            <w:txbxContent>
              <w:p>
                <w:pPr>
                  <w:pStyle w:val="1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- 1 -</w:t>
                </w:r>
                <w:r>
                  <w:rPr>
                    <w:rFonts w:hint="eastAsia"/>
                    <w:lang w:eastAsia="zh-CN"/>
                  </w:rPr>
                  <w:fldChar w:fldCharType="end"/>
                </w:r>
              </w:p>
            </w:txbxContent>
          </v:textbox>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w:rPr>
        <w:sz w:val="18"/>
      </w:rPr>
      <w:pict>
        <v:shape id="_x0000_s3080" o:spid="_x0000_s3080" o:spt="202" type="#_x0000_t202" style="position:absolute;left:0pt;margin-top:0pt;height:144pt;width:144pt;mso-position-horizontal:center;mso-position-horizontal-relative:margin;mso-wrap-style:none;z-index:251660288;mso-width-relative:page;mso-height-relative:page;" filled="f" stroked="f" coordsize="21600,21600">
          <v:path/>
          <v:fill on="f" focussize="0,0"/>
          <v:stroke on="f"/>
          <v:imagedata o:title=""/>
          <o:lock v:ext="edit" aspectratio="f"/>
          <v:textbox inset="0mm,0mm,0mm,0mm" style="mso-fit-shape-to-text:t;">
            <w:txbxContent>
              <w:p>
                <w:pPr>
                  <w:pStyle w:val="1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- 1 -</w:t>
                </w:r>
                <w:r>
                  <w:rPr>
                    <w:rFonts w:hint="eastAsia"/>
                    <w:lang w:eastAsia="zh-CN"/>
                  </w:rPr>
                  <w:fldChar w:fldCharType="end"/>
                </w:r>
              </w:p>
            </w:txbxContent>
          </v:textbox>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w:rPr>
        <w:sz w:val="18"/>
      </w:rPr>
      <w:pict>
        <v:shape id="_x0000_s3081" o:spid="_x0000_s3081" o:spt="202" type="#_x0000_t202" style="position:absolute;left:0pt;margin-top:0pt;height:144pt;width:144pt;mso-position-horizontal:center;mso-position-horizontal-relative:margin;mso-wrap-style:none;z-index:251661312;mso-width-relative:page;mso-height-relative:page;" filled="f" stroked="f" coordsize="21600,21600">
          <v:path/>
          <v:fill on="f" focussize="0,0"/>
          <v:stroke on="f"/>
          <v:imagedata o:title=""/>
          <o:lock v:ext="edit" aspectratio="f"/>
          <v:textbox inset="0mm,0mm,0mm,0mm" style="mso-fit-shape-to-text:t;">
            <w:txbxContent>
              <w:p>
                <w:pPr>
                  <w:pStyle w:val="1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- 35 -</w:t>
                </w:r>
                <w:r>
                  <w:rPr>
                    <w:rFonts w:hint="eastAsia"/>
                    <w:lang w:eastAsia="zh-CN"/>
                  </w:rPr>
                  <w:fldChar w:fldCharType="end"/>
                </w:r>
              </w:p>
            </w:txbxContent>
          </v:textbox>
        </v:shape>
      </w:pic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val="1"/>
  <w:bordersDoNotSurroundFooter w:val="1"/>
  <w:hideSpellingErrors/>
  <w:documentProtection w:enforcement="0"/>
  <w:defaultTabStop w:val="420"/>
  <w:drawingGridHorizontalSpacing w:val="105"/>
  <w:drawingGridVerticalSpacing w:val="156"/>
  <w:displayHorizontalDrawingGridEvery w:val="2"/>
  <w:displayVerticalDrawingGridEvery w:val="2"/>
  <w:noPunctuationKerning w:val="1"/>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172A27"/>
    <w:rsid w:val="000001FA"/>
    <w:rsid w:val="00000C3A"/>
    <w:rsid w:val="00000F47"/>
    <w:rsid w:val="000011E2"/>
    <w:rsid w:val="00001301"/>
    <w:rsid w:val="00002051"/>
    <w:rsid w:val="000022F8"/>
    <w:rsid w:val="000026A0"/>
    <w:rsid w:val="00002C12"/>
    <w:rsid w:val="00003905"/>
    <w:rsid w:val="00007CDA"/>
    <w:rsid w:val="00010031"/>
    <w:rsid w:val="00011BB7"/>
    <w:rsid w:val="0001228B"/>
    <w:rsid w:val="000135AB"/>
    <w:rsid w:val="00013A6C"/>
    <w:rsid w:val="00014C9E"/>
    <w:rsid w:val="00014DC4"/>
    <w:rsid w:val="00017ED3"/>
    <w:rsid w:val="000201E9"/>
    <w:rsid w:val="000204E9"/>
    <w:rsid w:val="00020982"/>
    <w:rsid w:val="00021AC6"/>
    <w:rsid w:val="00021DAD"/>
    <w:rsid w:val="000227C5"/>
    <w:rsid w:val="00022DE8"/>
    <w:rsid w:val="000231C2"/>
    <w:rsid w:val="00023CF9"/>
    <w:rsid w:val="00023F8A"/>
    <w:rsid w:val="000240B1"/>
    <w:rsid w:val="000244E9"/>
    <w:rsid w:val="00024AB7"/>
    <w:rsid w:val="000253E8"/>
    <w:rsid w:val="00025684"/>
    <w:rsid w:val="000257C5"/>
    <w:rsid w:val="000277D6"/>
    <w:rsid w:val="00027AA5"/>
    <w:rsid w:val="000301B9"/>
    <w:rsid w:val="000312DD"/>
    <w:rsid w:val="00031A87"/>
    <w:rsid w:val="00033EC8"/>
    <w:rsid w:val="00033F80"/>
    <w:rsid w:val="000347F5"/>
    <w:rsid w:val="0003491B"/>
    <w:rsid w:val="00035236"/>
    <w:rsid w:val="00035926"/>
    <w:rsid w:val="00036177"/>
    <w:rsid w:val="00036A17"/>
    <w:rsid w:val="0004163A"/>
    <w:rsid w:val="00042C29"/>
    <w:rsid w:val="000431CA"/>
    <w:rsid w:val="00043B0B"/>
    <w:rsid w:val="00045342"/>
    <w:rsid w:val="000455E3"/>
    <w:rsid w:val="00045623"/>
    <w:rsid w:val="00045E6E"/>
    <w:rsid w:val="00046E0E"/>
    <w:rsid w:val="000475FB"/>
    <w:rsid w:val="00047AF0"/>
    <w:rsid w:val="00050023"/>
    <w:rsid w:val="00051696"/>
    <w:rsid w:val="000522E9"/>
    <w:rsid w:val="0005283E"/>
    <w:rsid w:val="0005289E"/>
    <w:rsid w:val="00053D85"/>
    <w:rsid w:val="00054207"/>
    <w:rsid w:val="000547D9"/>
    <w:rsid w:val="00056113"/>
    <w:rsid w:val="000565F9"/>
    <w:rsid w:val="000579B5"/>
    <w:rsid w:val="00060618"/>
    <w:rsid w:val="000613F6"/>
    <w:rsid w:val="000623CF"/>
    <w:rsid w:val="00062923"/>
    <w:rsid w:val="000635A6"/>
    <w:rsid w:val="000635E6"/>
    <w:rsid w:val="000637AB"/>
    <w:rsid w:val="00064136"/>
    <w:rsid w:val="0006433A"/>
    <w:rsid w:val="00065915"/>
    <w:rsid w:val="00065BC5"/>
    <w:rsid w:val="00066309"/>
    <w:rsid w:val="00067354"/>
    <w:rsid w:val="00070A6B"/>
    <w:rsid w:val="000722B5"/>
    <w:rsid w:val="0007408D"/>
    <w:rsid w:val="000745B4"/>
    <w:rsid w:val="00074641"/>
    <w:rsid w:val="00075578"/>
    <w:rsid w:val="0007682C"/>
    <w:rsid w:val="00077B5A"/>
    <w:rsid w:val="00077EBA"/>
    <w:rsid w:val="00077F31"/>
    <w:rsid w:val="000803FF"/>
    <w:rsid w:val="000804CF"/>
    <w:rsid w:val="000814A7"/>
    <w:rsid w:val="00081F52"/>
    <w:rsid w:val="00082563"/>
    <w:rsid w:val="00083507"/>
    <w:rsid w:val="00083E3F"/>
    <w:rsid w:val="00085168"/>
    <w:rsid w:val="00085C07"/>
    <w:rsid w:val="000861C6"/>
    <w:rsid w:val="00087096"/>
    <w:rsid w:val="00087F50"/>
    <w:rsid w:val="000902D1"/>
    <w:rsid w:val="000911FA"/>
    <w:rsid w:val="00091D2F"/>
    <w:rsid w:val="000926A2"/>
    <w:rsid w:val="0009359D"/>
    <w:rsid w:val="000944A3"/>
    <w:rsid w:val="00094762"/>
    <w:rsid w:val="00094ACD"/>
    <w:rsid w:val="00094AFF"/>
    <w:rsid w:val="00095254"/>
    <w:rsid w:val="00095739"/>
    <w:rsid w:val="0009586D"/>
    <w:rsid w:val="00095CD4"/>
    <w:rsid w:val="00095F01"/>
    <w:rsid w:val="00097640"/>
    <w:rsid w:val="000978F7"/>
    <w:rsid w:val="000A07F2"/>
    <w:rsid w:val="000A08C8"/>
    <w:rsid w:val="000A1A08"/>
    <w:rsid w:val="000A22E5"/>
    <w:rsid w:val="000A295C"/>
    <w:rsid w:val="000A2AB3"/>
    <w:rsid w:val="000A3BD4"/>
    <w:rsid w:val="000A3D0A"/>
    <w:rsid w:val="000A6026"/>
    <w:rsid w:val="000B0FBB"/>
    <w:rsid w:val="000B2C7A"/>
    <w:rsid w:val="000B3B9C"/>
    <w:rsid w:val="000B494A"/>
    <w:rsid w:val="000B594F"/>
    <w:rsid w:val="000B5F05"/>
    <w:rsid w:val="000B75A0"/>
    <w:rsid w:val="000B7C56"/>
    <w:rsid w:val="000C1B55"/>
    <w:rsid w:val="000C3E5D"/>
    <w:rsid w:val="000C54A0"/>
    <w:rsid w:val="000D08FB"/>
    <w:rsid w:val="000D0BA3"/>
    <w:rsid w:val="000D179C"/>
    <w:rsid w:val="000D1957"/>
    <w:rsid w:val="000D1BEE"/>
    <w:rsid w:val="000D28BC"/>
    <w:rsid w:val="000D2C49"/>
    <w:rsid w:val="000D30AA"/>
    <w:rsid w:val="000D33EA"/>
    <w:rsid w:val="000D3BA0"/>
    <w:rsid w:val="000D5095"/>
    <w:rsid w:val="000D52EE"/>
    <w:rsid w:val="000D65F3"/>
    <w:rsid w:val="000D7466"/>
    <w:rsid w:val="000D75BA"/>
    <w:rsid w:val="000E14D7"/>
    <w:rsid w:val="000E1AB2"/>
    <w:rsid w:val="000E26CD"/>
    <w:rsid w:val="000E3586"/>
    <w:rsid w:val="000E3655"/>
    <w:rsid w:val="000E422D"/>
    <w:rsid w:val="000E482A"/>
    <w:rsid w:val="000E56BC"/>
    <w:rsid w:val="000E6AA6"/>
    <w:rsid w:val="000F04BA"/>
    <w:rsid w:val="000F088D"/>
    <w:rsid w:val="000F0DC0"/>
    <w:rsid w:val="000F10E6"/>
    <w:rsid w:val="000F153B"/>
    <w:rsid w:val="000F1722"/>
    <w:rsid w:val="000F2F2A"/>
    <w:rsid w:val="000F5DF7"/>
    <w:rsid w:val="000F672F"/>
    <w:rsid w:val="000F6C17"/>
    <w:rsid w:val="000F7C03"/>
    <w:rsid w:val="0010029C"/>
    <w:rsid w:val="00101DAC"/>
    <w:rsid w:val="00102CEB"/>
    <w:rsid w:val="00103898"/>
    <w:rsid w:val="001064D4"/>
    <w:rsid w:val="00106E80"/>
    <w:rsid w:val="001073BD"/>
    <w:rsid w:val="00107B35"/>
    <w:rsid w:val="00107C74"/>
    <w:rsid w:val="00107D19"/>
    <w:rsid w:val="00111CB0"/>
    <w:rsid w:val="00111EC8"/>
    <w:rsid w:val="00113801"/>
    <w:rsid w:val="001138D9"/>
    <w:rsid w:val="00113E47"/>
    <w:rsid w:val="00114E74"/>
    <w:rsid w:val="00114FE3"/>
    <w:rsid w:val="00116015"/>
    <w:rsid w:val="00116A36"/>
    <w:rsid w:val="00121638"/>
    <w:rsid w:val="00121BC0"/>
    <w:rsid w:val="0012322D"/>
    <w:rsid w:val="00123916"/>
    <w:rsid w:val="001243FE"/>
    <w:rsid w:val="0012503C"/>
    <w:rsid w:val="00125863"/>
    <w:rsid w:val="00125B86"/>
    <w:rsid w:val="00126C90"/>
    <w:rsid w:val="00127415"/>
    <w:rsid w:val="00127515"/>
    <w:rsid w:val="00127764"/>
    <w:rsid w:val="00127BE5"/>
    <w:rsid w:val="0013048C"/>
    <w:rsid w:val="00130BBC"/>
    <w:rsid w:val="00131105"/>
    <w:rsid w:val="001344F8"/>
    <w:rsid w:val="001357A7"/>
    <w:rsid w:val="0013608C"/>
    <w:rsid w:val="001364AE"/>
    <w:rsid w:val="001371B6"/>
    <w:rsid w:val="001372FF"/>
    <w:rsid w:val="00137993"/>
    <w:rsid w:val="00137E04"/>
    <w:rsid w:val="001403D1"/>
    <w:rsid w:val="001408C3"/>
    <w:rsid w:val="00141DCF"/>
    <w:rsid w:val="00142971"/>
    <w:rsid w:val="0014388B"/>
    <w:rsid w:val="00143C7B"/>
    <w:rsid w:val="0014575C"/>
    <w:rsid w:val="00146338"/>
    <w:rsid w:val="00147EC0"/>
    <w:rsid w:val="00152AD8"/>
    <w:rsid w:val="00153182"/>
    <w:rsid w:val="00154A14"/>
    <w:rsid w:val="00155E2C"/>
    <w:rsid w:val="00155EC4"/>
    <w:rsid w:val="00157D11"/>
    <w:rsid w:val="00157D39"/>
    <w:rsid w:val="00160A1B"/>
    <w:rsid w:val="00160A47"/>
    <w:rsid w:val="00162146"/>
    <w:rsid w:val="00162160"/>
    <w:rsid w:val="0016275A"/>
    <w:rsid w:val="001627EF"/>
    <w:rsid w:val="001628E6"/>
    <w:rsid w:val="00163911"/>
    <w:rsid w:val="00165286"/>
    <w:rsid w:val="00165831"/>
    <w:rsid w:val="00165A2F"/>
    <w:rsid w:val="00165A49"/>
    <w:rsid w:val="00165E11"/>
    <w:rsid w:val="0016776F"/>
    <w:rsid w:val="0016778D"/>
    <w:rsid w:val="001678F5"/>
    <w:rsid w:val="00172A27"/>
    <w:rsid w:val="0017358B"/>
    <w:rsid w:val="00173CFF"/>
    <w:rsid w:val="00174258"/>
    <w:rsid w:val="00174563"/>
    <w:rsid w:val="00174820"/>
    <w:rsid w:val="00176981"/>
    <w:rsid w:val="001772F1"/>
    <w:rsid w:val="00181B36"/>
    <w:rsid w:val="001822CD"/>
    <w:rsid w:val="00182948"/>
    <w:rsid w:val="001832F3"/>
    <w:rsid w:val="00184101"/>
    <w:rsid w:val="00184795"/>
    <w:rsid w:val="00184C16"/>
    <w:rsid w:val="00184DC2"/>
    <w:rsid w:val="00185769"/>
    <w:rsid w:val="001864B9"/>
    <w:rsid w:val="001869C6"/>
    <w:rsid w:val="0019179D"/>
    <w:rsid w:val="00191C83"/>
    <w:rsid w:val="00191CC0"/>
    <w:rsid w:val="00192342"/>
    <w:rsid w:val="001936EC"/>
    <w:rsid w:val="00193B63"/>
    <w:rsid w:val="00196420"/>
    <w:rsid w:val="00196A3C"/>
    <w:rsid w:val="0019792D"/>
    <w:rsid w:val="001A1C5F"/>
    <w:rsid w:val="001A1C7C"/>
    <w:rsid w:val="001A228E"/>
    <w:rsid w:val="001A6F2D"/>
    <w:rsid w:val="001A7652"/>
    <w:rsid w:val="001A798D"/>
    <w:rsid w:val="001A7F58"/>
    <w:rsid w:val="001A7F9E"/>
    <w:rsid w:val="001B2E9F"/>
    <w:rsid w:val="001B56C9"/>
    <w:rsid w:val="001B5C4D"/>
    <w:rsid w:val="001C0025"/>
    <w:rsid w:val="001C0066"/>
    <w:rsid w:val="001C097C"/>
    <w:rsid w:val="001C0D1F"/>
    <w:rsid w:val="001C1817"/>
    <w:rsid w:val="001C1C85"/>
    <w:rsid w:val="001C1FBC"/>
    <w:rsid w:val="001C2548"/>
    <w:rsid w:val="001C2745"/>
    <w:rsid w:val="001C2E66"/>
    <w:rsid w:val="001C3EF8"/>
    <w:rsid w:val="001C482F"/>
    <w:rsid w:val="001C54CD"/>
    <w:rsid w:val="001C5F21"/>
    <w:rsid w:val="001C62C3"/>
    <w:rsid w:val="001C6F3D"/>
    <w:rsid w:val="001C7093"/>
    <w:rsid w:val="001C7E97"/>
    <w:rsid w:val="001D0441"/>
    <w:rsid w:val="001D0F1F"/>
    <w:rsid w:val="001D14CD"/>
    <w:rsid w:val="001D1569"/>
    <w:rsid w:val="001D166D"/>
    <w:rsid w:val="001D291E"/>
    <w:rsid w:val="001D2E0C"/>
    <w:rsid w:val="001D3674"/>
    <w:rsid w:val="001D3C5F"/>
    <w:rsid w:val="001D43FA"/>
    <w:rsid w:val="001D5073"/>
    <w:rsid w:val="001D564C"/>
    <w:rsid w:val="001D5AC8"/>
    <w:rsid w:val="001D5CE0"/>
    <w:rsid w:val="001D5E73"/>
    <w:rsid w:val="001D684F"/>
    <w:rsid w:val="001D6EB6"/>
    <w:rsid w:val="001D7C5D"/>
    <w:rsid w:val="001E0C88"/>
    <w:rsid w:val="001E1070"/>
    <w:rsid w:val="001E1776"/>
    <w:rsid w:val="001E198F"/>
    <w:rsid w:val="001E26A2"/>
    <w:rsid w:val="001E332A"/>
    <w:rsid w:val="001E3848"/>
    <w:rsid w:val="001E6591"/>
    <w:rsid w:val="001E7479"/>
    <w:rsid w:val="001E75EC"/>
    <w:rsid w:val="001E7A9B"/>
    <w:rsid w:val="001E7E6B"/>
    <w:rsid w:val="001F16D6"/>
    <w:rsid w:val="001F1A58"/>
    <w:rsid w:val="001F2CB4"/>
    <w:rsid w:val="001F2EDB"/>
    <w:rsid w:val="001F32C5"/>
    <w:rsid w:val="001F4D81"/>
    <w:rsid w:val="001F574B"/>
    <w:rsid w:val="001F57D1"/>
    <w:rsid w:val="001F636E"/>
    <w:rsid w:val="001F64DC"/>
    <w:rsid w:val="002003F8"/>
    <w:rsid w:val="00200582"/>
    <w:rsid w:val="00201221"/>
    <w:rsid w:val="00201925"/>
    <w:rsid w:val="00201CCC"/>
    <w:rsid w:val="002050F2"/>
    <w:rsid w:val="0020572E"/>
    <w:rsid w:val="00210052"/>
    <w:rsid w:val="00210157"/>
    <w:rsid w:val="00211913"/>
    <w:rsid w:val="00211F77"/>
    <w:rsid w:val="00212065"/>
    <w:rsid w:val="00212847"/>
    <w:rsid w:val="00212BFA"/>
    <w:rsid w:val="00212E22"/>
    <w:rsid w:val="002133CF"/>
    <w:rsid w:val="002134C8"/>
    <w:rsid w:val="002162F6"/>
    <w:rsid w:val="002163A2"/>
    <w:rsid w:val="00217642"/>
    <w:rsid w:val="00220666"/>
    <w:rsid w:val="00221623"/>
    <w:rsid w:val="002217B9"/>
    <w:rsid w:val="00222A8A"/>
    <w:rsid w:val="002257C8"/>
    <w:rsid w:val="00225935"/>
    <w:rsid w:val="0022611B"/>
    <w:rsid w:val="00226CEB"/>
    <w:rsid w:val="00227839"/>
    <w:rsid w:val="00227FE9"/>
    <w:rsid w:val="002308BE"/>
    <w:rsid w:val="002314DB"/>
    <w:rsid w:val="00232733"/>
    <w:rsid w:val="00234306"/>
    <w:rsid w:val="00234FCA"/>
    <w:rsid w:val="00235C61"/>
    <w:rsid w:val="00236270"/>
    <w:rsid w:val="0023749B"/>
    <w:rsid w:val="00240486"/>
    <w:rsid w:val="00240C10"/>
    <w:rsid w:val="00241D24"/>
    <w:rsid w:val="00241FBD"/>
    <w:rsid w:val="002431F1"/>
    <w:rsid w:val="002436E6"/>
    <w:rsid w:val="002437B4"/>
    <w:rsid w:val="002444F2"/>
    <w:rsid w:val="00246D4A"/>
    <w:rsid w:val="00247AC3"/>
    <w:rsid w:val="00247B93"/>
    <w:rsid w:val="00250150"/>
    <w:rsid w:val="00250D65"/>
    <w:rsid w:val="00251A46"/>
    <w:rsid w:val="00251E4E"/>
    <w:rsid w:val="0025227C"/>
    <w:rsid w:val="00253C0D"/>
    <w:rsid w:val="00254158"/>
    <w:rsid w:val="00254536"/>
    <w:rsid w:val="002547F4"/>
    <w:rsid w:val="002561F9"/>
    <w:rsid w:val="0025630D"/>
    <w:rsid w:val="002603A6"/>
    <w:rsid w:val="00260638"/>
    <w:rsid w:val="00260DCD"/>
    <w:rsid w:val="00261184"/>
    <w:rsid w:val="00261301"/>
    <w:rsid w:val="00261FFF"/>
    <w:rsid w:val="00262966"/>
    <w:rsid w:val="00263FD9"/>
    <w:rsid w:val="00265170"/>
    <w:rsid w:val="002658BA"/>
    <w:rsid w:val="00265B67"/>
    <w:rsid w:val="00265ED7"/>
    <w:rsid w:val="00266858"/>
    <w:rsid w:val="00271111"/>
    <w:rsid w:val="00271C6D"/>
    <w:rsid w:val="0027255D"/>
    <w:rsid w:val="00273691"/>
    <w:rsid w:val="0027502F"/>
    <w:rsid w:val="00275DC7"/>
    <w:rsid w:val="00275E24"/>
    <w:rsid w:val="002764EC"/>
    <w:rsid w:val="002767A8"/>
    <w:rsid w:val="00276DA4"/>
    <w:rsid w:val="00276EDB"/>
    <w:rsid w:val="00277C3D"/>
    <w:rsid w:val="00277E5B"/>
    <w:rsid w:val="00277E87"/>
    <w:rsid w:val="00283AE3"/>
    <w:rsid w:val="00286303"/>
    <w:rsid w:val="00286DE2"/>
    <w:rsid w:val="00287019"/>
    <w:rsid w:val="00290593"/>
    <w:rsid w:val="002913BB"/>
    <w:rsid w:val="002917D1"/>
    <w:rsid w:val="002925D0"/>
    <w:rsid w:val="002934A0"/>
    <w:rsid w:val="002940D3"/>
    <w:rsid w:val="00294BB9"/>
    <w:rsid w:val="002951B2"/>
    <w:rsid w:val="00297B6B"/>
    <w:rsid w:val="002A0FD0"/>
    <w:rsid w:val="002A1185"/>
    <w:rsid w:val="002A39D2"/>
    <w:rsid w:val="002A437E"/>
    <w:rsid w:val="002A4966"/>
    <w:rsid w:val="002A5A45"/>
    <w:rsid w:val="002A6489"/>
    <w:rsid w:val="002A6A10"/>
    <w:rsid w:val="002A6D05"/>
    <w:rsid w:val="002A7A65"/>
    <w:rsid w:val="002B0011"/>
    <w:rsid w:val="002B0045"/>
    <w:rsid w:val="002B02FA"/>
    <w:rsid w:val="002B0A71"/>
    <w:rsid w:val="002B1297"/>
    <w:rsid w:val="002B2D2B"/>
    <w:rsid w:val="002B383F"/>
    <w:rsid w:val="002B46B1"/>
    <w:rsid w:val="002B4AB5"/>
    <w:rsid w:val="002B610A"/>
    <w:rsid w:val="002B6728"/>
    <w:rsid w:val="002B758F"/>
    <w:rsid w:val="002B7EF8"/>
    <w:rsid w:val="002C1098"/>
    <w:rsid w:val="002C1402"/>
    <w:rsid w:val="002C36FB"/>
    <w:rsid w:val="002C438E"/>
    <w:rsid w:val="002C601E"/>
    <w:rsid w:val="002C6552"/>
    <w:rsid w:val="002D07A7"/>
    <w:rsid w:val="002D34D9"/>
    <w:rsid w:val="002D49F0"/>
    <w:rsid w:val="002D4D41"/>
    <w:rsid w:val="002D4F93"/>
    <w:rsid w:val="002D5573"/>
    <w:rsid w:val="002D59DF"/>
    <w:rsid w:val="002D5FC4"/>
    <w:rsid w:val="002E03B5"/>
    <w:rsid w:val="002E0F6D"/>
    <w:rsid w:val="002E2429"/>
    <w:rsid w:val="002E2D49"/>
    <w:rsid w:val="002E344A"/>
    <w:rsid w:val="002E3CF7"/>
    <w:rsid w:val="002E3E2C"/>
    <w:rsid w:val="002E5ED3"/>
    <w:rsid w:val="002E6393"/>
    <w:rsid w:val="002E6826"/>
    <w:rsid w:val="002E6C1A"/>
    <w:rsid w:val="002E6E92"/>
    <w:rsid w:val="002F1C70"/>
    <w:rsid w:val="002F3027"/>
    <w:rsid w:val="002F4375"/>
    <w:rsid w:val="002F4A41"/>
    <w:rsid w:val="002F5A5F"/>
    <w:rsid w:val="002F5F7B"/>
    <w:rsid w:val="002F6656"/>
    <w:rsid w:val="002F7377"/>
    <w:rsid w:val="002F786F"/>
    <w:rsid w:val="002F7EC6"/>
    <w:rsid w:val="00300722"/>
    <w:rsid w:val="003021F7"/>
    <w:rsid w:val="00302740"/>
    <w:rsid w:val="0030306F"/>
    <w:rsid w:val="00303188"/>
    <w:rsid w:val="00303730"/>
    <w:rsid w:val="0030479E"/>
    <w:rsid w:val="00305E5E"/>
    <w:rsid w:val="0031033E"/>
    <w:rsid w:val="00310387"/>
    <w:rsid w:val="003112FA"/>
    <w:rsid w:val="00311756"/>
    <w:rsid w:val="00312188"/>
    <w:rsid w:val="00312B00"/>
    <w:rsid w:val="00314015"/>
    <w:rsid w:val="00314029"/>
    <w:rsid w:val="00314FAD"/>
    <w:rsid w:val="00316623"/>
    <w:rsid w:val="003166A9"/>
    <w:rsid w:val="00316BC4"/>
    <w:rsid w:val="00317CDA"/>
    <w:rsid w:val="00317F1F"/>
    <w:rsid w:val="003221FD"/>
    <w:rsid w:val="0032303B"/>
    <w:rsid w:val="0032480B"/>
    <w:rsid w:val="00325AA3"/>
    <w:rsid w:val="003262A6"/>
    <w:rsid w:val="0032679F"/>
    <w:rsid w:val="003268B2"/>
    <w:rsid w:val="00330038"/>
    <w:rsid w:val="00330412"/>
    <w:rsid w:val="00332480"/>
    <w:rsid w:val="0033254B"/>
    <w:rsid w:val="003326E7"/>
    <w:rsid w:val="0033272C"/>
    <w:rsid w:val="00332930"/>
    <w:rsid w:val="003351E8"/>
    <w:rsid w:val="00335BAA"/>
    <w:rsid w:val="00337D95"/>
    <w:rsid w:val="0034018B"/>
    <w:rsid w:val="0034173B"/>
    <w:rsid w:val="00341E01"/>
    <w:rsid w:val="00342C1C"/>
    <w:rsid w:val="00345908"/>
    <w:rsid w:val="003473DC"/>
    <w:rsid w:val="00347468"/>
    <w:rsid w:val="00350500"/>
    <w:rsid w:val="00350B05"/>
    <w:rsid w:val="00350EAE"/>
    <w:rsid w:val="003519CF"/>
    <w:rsid w:val="00351D38"/>
    <w:rsid w:val="00352225"/>
    <w:rsid w:val="00352CBE"/>
    <w:rsid w:val="0035323F"/>
    <w:rsid w:val="00353BE4"/>
    <w:rsid w:val="00355828"/>
    <w:rsid w:val="00355DF5"/>
    <w:rsid w:val="00356B87"/>
    <w:rsid w:val="003574B9"/>
    <w:rsid w:val="003579E6"/>
    <w:rsid w:val="00360599"/>
    <w:rsid w:val="00360D64"/>
    <w:rsid w:val="00361C7F"/>
    <w:rsid w:val="00361C94"/>
    <w:rsid w:val="00361E7F"/>
    <w:rsid w:val="00362245"/>
    <w:rsid w:val="0036231E"/>
    <w:rsid w:val="0036269D"/>
    <w:rsid w:val="00362E7A"/>
    <w:rsid w:val="00364BDD"/>
    <w:rsid w:val="00367541"/>
    <w:rsid w:val="003675B0"/>
    <w:rsid w:val="00370812"/>
    <w:rsid w:val="00370968"/>
    <w:rsid w:val="0037264C"/>
    <w:rsid w:val="00373A70"/>
    <w:rsid w:val="00374DBC"/>
    <w:rsid w:val="003752B4"/>
    <w:rsid w:val="00375428"/>
    <w:rsid w:val="00377620"/>
    <w:rsid w:val="00377D7B"/>
    <w:rsid w:val="0038076A"/>
    <w:rsid w:val="00381328"/>
    <w:rsid w:val="003814D8"/>
    <w:rsid w:val="003818E2"/>
    <w:rsid w:val="00381E61"/>
    <w:rsid w:val="00381F61"/>
    <w:rsid w:val="003824A6"/>
    <w:rsid w:val="003824A8"/>
    <w:rsid w:val="00383C7D"/>
    <w:rsid w:val="00385870"/>
    <w:rsid w:val="003865E1"/>
    <w:rsid w:val="00387337"/>
    <w:rsid w:val="00387D5F"/>
    <w:rsid w:val="00390344"/>
    <w:rsid w:val="00390F4C"/>
    <w:rsid w:val="00391BC8"/>
    <w:rsid w:val="00392ABC"/>
    <w:rsid w:val="0039470B"/>
    <w:rsid w:val="003948BA"/>
    <w:rsid w:val="00394B35"/>
    <w:rsid w:val="00394F2D"/>
    <w:rsid w:val="0039529E"/>
    <w:rsid w:val="00395490"/>
    <w:rsid w:val="003969EF"/>
    <w:rsid w:val="003977A7"/>
    <w:rsid w:val="003A05E9"/>
    <w:rsid w:val="003A0621"/>
    <w:rsid w:val="003A0C50"/>
    <w:rsid w:val="003A18FB"/>
    <w:rsid w:val="003A1BE2"/>
    <w:rsid w:val="003A2783"/>
    <w:rsid w:val="003A3884"/>
    <w:rsid w:val="003A4EFB"/>
    <w:rsid w:val="003A4F31"/>
    <w:rsid w:val="003A5AE0"/>
    <w:rsid w:val="003A5FC1"/>
    <w:rsid w:val="003A613D"/>
    <w:rsid w:val="003A642C"/>
    <w:rsid w:val="003B07D5"/>
    <w:rsid w:val="003B0D3C"/>
    <w:rsid w:val="003B1653"/>
    <w:rsid w:val="003B16C9"/>
    <w:rsid w:val="003B2A3E"/>
    <w:rsid w:val="003B2C5F"/>
    <w:rsid w:val="003B34FF"/>
    <w:rsid w:val="003B3D58"/>
    <w:rsid w:val="003B674F"/>
    <w:rsid w:val="003B7177"/>
    <w:rsid w:val="003B73C6"/>
    <w:rsid w:val="003B762A"/>
    <w:rsid w:val="003B7744"/>
    <w:rsid w:val="003C0782"/>
    <w:rsid w:val="003C14C6"/>
    <w:rsid w:val="003C2797"/>
    <w:rsid w:val="003C2F57"/>
    <w:rsid w:val="003C31D5"/>
    <w:rsid w:val="003C394A"/>
    <w:rsid w:val="003C4F44"/>
    <w:rsid w:val="003C553A"/>
    <w:rsid w:val="003C5654"/>
    <w:rsid w:val="003C5B21"/>
    <w:rsid w:val="003C6844"/>
    <w:rsid w:val="003C6D35"/>
    <w:rsid w:val="003C6EEE"/>
    <w:rsid w:val="003D249E"/>
    <w:rsid w:val="003D4269"/>
    <w:rsid w:val="003D4ABF"/>
    <w:rsid w:val="003D4AD1"/>
    <w:rsid w:val="003D55B0"/>
    <w:rsid w:val="003D6175"/>
    <w:rsid w:val="003E0AC8"/>
    <w:rsid w:val="003E0B4D"/>
    <w:rsid w:val="003E157E"/>
    <w:rsid w:val="003E1AA0"/>
    <w:rsid w:val="003E20F4"/>
    <w:rsid w:val="003E2106"/>
    <w:rsid w:val="003E41A3"/>
    <w:rsid w:val="003E4FC1"/>
    <w:rsid w:val="003E60BF"/>
    <w:rsid w:val="003E6DAF"/>
    <w:rsid w:val="003E710C"/>
    <w:rsid w:val="003E77B8"/>
    <w:rsid w:val="003F00CC"/>
    <w:rsid w:val="003F0658"/>
    <w:rsid w:val="003F0CF7"/>
    <w:rsid w:val="003F126D"/>
    <w:rsid w:val="003F13E3"/>
    <w:rsid w:val="003F19B7"/>
    <w:rsid w:val="003F4BD1"/>
    <w:rsid w:val="003F5190"/>
    <w:rsid w:val="003F7373"/>
    <w:rsid w:val="003F7B08"/>
    <w:rsid w:val="003F7D41"/>
    <w:rsid w:val="00400530"/>
    <w:rsid w:val="00400D05"/>
    <w:rsid w:val="00400D8E"/>
    <w:rsid w:val="00400E1A"/>
    <w:rsid w:val="00401F4E"/>
    <w:rsid w:val="004030AE"/>
    <w:rsid w:val="004038B5"/>
    <w:rsid w:val="004044FD"/>
    <w:rsid w:val="004048D0"/>
    <w:rsid w:val="0040600C"/>
    <w:rsid w:val="00406A5D"/>
    <w:rsid w:val="004110CD"/>
    <w:rsid w:val="00412408"/>
    <w:rsid w:val="00412BE5"/>
    <w:rsid w:val="00413ACF"/>
    <w:rsid w:val="00414748"/>
    <w:rsid w:val="00414B2F"/>
    <w:rsid w:val="00414C4C"/>
    <w:rsid w:val="00415740"/>
    <w:rsid w:val="00416063"/>
    <w:rsid w:val="0041629B"/>
    <w:rsid w:val="00416C54"/>
    <w:rsid w:val="0041741F"/>
    <w:rsid w:val="00417720"/>
    <w:rsid w:val="00417DED"/>
    <w:rsid w:val="00420B94"/>
    <w:rsid w:val="00420C25"/>
    <w:rsid w:val="00422B9B"/>
    <w:rsid w:val="0042390A"/>
    <w:rsid w:val="00424397"/>
    <w:rsid w:val="00424A11"/>
    <w:rsid w:val="004257C6"/>
    <w:rsid w:val="0042664F"/>
    <w:rsid w:val="00427701"/>
    <w:rsid w:val="00427B1D"/>
    <w:rsid w:val="00431699"/>
    <w:rsid w:val="004316E5"/>
    <w:rsid w:val="00431983"/>
    <w:rsid w:val="00431A16"/>
    <w:rsid w:val="00432240"/>
    <w:rsid w:val="00432798"/>
    <w:rsid w:val="00432A08"/>
    <w:rsid w:val="00432B68"/>
    <w:rsid w:val="00433A21"/>
    <w:rsid w:val="00435069"/>
    <w:rsid w:val="00435801"/>
    <w:rsid w:val="00441133"/>
    <w:rsid w:val="00443CEE"/>
    <w:rsid w:val="00444977"/>
    <w:rsid w:val="00444DD9"/>
    <w:rsid w:val="00445E4F"/>
    <w:rsid w:val="00446315"/>
    <w:rsid w:val="00447415"/>
    <w:rsid w:val="0044750E"/>
    <w:rsid w:val="004477FB"/>
    <w:rsid w:val="00450288"/>
    <w:rsid w:val="004506BA"/>
    <w:rsid w:val="00451458"/>
    <w:rsid w:val="00451A72"/>
    <w:rsid w:val="00451A76"/>
    <w:rsid w:val="00453364"/>
    <w:rsid w:val="00454BBF"/>
    <w:rsid w:val="00454E88"/>
    <w:rsid w:val="004568DD"/>
    <w:rsid w:val="00457954"/>
    <w:rsid w:val="00460C48"/>
    <w:rsid w:val="004613EA"/>
    <w:rsid w:val="00461A5D"/>
    <w:rsid w:val="004622BA"/>
    <w:rsid w:val="004641A2"/>
    <w:rsid w:val="004649F2"/>
    <w:rsid w:val="004654D9"/>
    <w:rsid w:val="00466783"/>
    <w:rsid w:val="00466C5A"/>
    <w:rsid w:val="00466D24"/>
    <w:rsid w:val="00470ABC"/>
    <w:rsid w:val="004729EB"/>
    <w:rsid w:val="00473A9C"/>
    <w:rsid w:val="004745D2"/>
    <w:rsid w:val="0047504F"/>
    <w:rsid w:val="00476AB1"/>
    <w:rsid w:val="00477CB7"/>
    <w:rsid w:val="00480FFD"/>
    <w:rsid w:val="0048106C"/>
    <w:rsid w:val="004828A0"/>
    <w:rsid w:val="004841CC"/>
    <w:rsid w:val="0048671F"/>
    <w:rsid w:val="00486A59"/>
    <w:rsid w:val="00486CAD"/>
    <w:rsid w:val="00486D88"/>
    <w:rsid w:val="00487E77"/>
    <w:rsid w:val="00487F58"/>
    <w:rsid w:val="004918DC"/>
    <w:rsid w:val="00491C96"/>
    <w:rsid w:val="00494CCD"/>
    <w:rsid w:val="00494E70"/>
    <w:rsid w:val="004959CC"/>
    <w:rsid w:val="00497B24"/>
    <w:rsid w:val="004A08BB"/>
    <w:rsid w:val="004A0C33"/>
    <w:rsid w:val="004A1397"/>
    <w:rsid w:val="004A2159"/>
    <w:rsid w:val="004A3390"/>
    <w:rsid w:val="004A353F"/>
    <w:rsid w:val="004A49DF"/>
    <w:rsid w:val="004A4A18"/>
    <w:rsid w:val="004A4EE0"/>
    <w:rsid w:val="004A5D62"/>
    <w:rsid w:val="004A7112"/>
    <w:rsid w:val="004A759B"/>
    <w:rsid w:val="004B1199"/>
    <w:rsid w:val="004B1C82"/>
    <w:rsid w:val="004B2129"/>
    <w:rsid w:val="004B3ECB"/>
    <w:rsid w:val="004B4663"/>
    <w:rsid w:val="004B4EBF"/>
    <w:rsid w:val="004B67DC"/>
    <w:rsid w:val="004B6C7F"/>
    <w:rsid w:val="004B78E4"/>
    <w:rsid w:val="004C05DE"/>
    <w:rsid w:val="004C14A5"/>
    <w:rsid w:val="004C2B98"/>
    <w:rsid w:val="004C2EF9"/>
    <w:rsid w:val="004C3D81"/>
    <w:rsid w:val="004C49D0"/>
    <w:rsid w:val="004C565D"/>
    <w:rsid w:val="004C651C"/>
    <w:rsid w:val="004C6709"/>
    <w:rsid w:val="004C7104"/>
    <w:rsid w:val="004C7642"/>
    <w:rsid w:val="004C7CC8"/>
    <w:rsid w:val="004D0E16"/>
    <w:rsid w:val="004D392B"/>
    <w:rsid w:val="004D425B"/>
    <w:rsid w:val="004D4C58"/>
    <w:rsid w:val="004D60D4"/>
    <w:rsid w:val="004D71EB"/>
    <w:rsid w:val="004D73C7"/>
    <w:rsid w:val="004D7625"/>
    <w:rsid w:val="004D7C6F"/>
    <w:rsid w:val="004E089D"/>
    <w:rsid w:val="004E26BC"/>
    <w:rsid w:val="004E2C48"/>
    <w:rsid w:val="004E3674"/>
    <w:rsid w:val="004E45E2"/>
    <w:rsid w:val="004E46B7"/>
    <w:rsid w:val="004E6194"/>
    <w:rsid w:val="004E6258"/>
    <w:rsid w:val="004E66A0"/>
    <w:rsid w:val="004E6829"/>
    <w:rsid w:val="004F1731"/>
    <w:rsid w:val="004F191D"/>
    <w:rsid w:val="004F2D77"/>
    <w:rsid w:val="004F359E"/>
    <w:rsid w:val="004F4092"/>
    <w:rsid w:val="004F5563"/>
    <w:rsid w:val="004F678F"/>
    <w:rsid w:val="004F7889"/>
    <w:rsid w:val="004F7D7A"/>
    <w:rsid w:val="004F7ED5"/>
    <w:rsid w:val="00500187"/>
    <w:rsid w:val="00500A8F"/>
    <w:rsid w:val="00501F6E"/>
    <w:rsid w:val="00501F74"/>
    <w:rsid w:val="00502C38"/>
    <w:rsid w:val="00503C11"/>
    <w:rsid w:val="005047FC"/>
    <w:rsid w:val="00504E5F"/>
    <w:rsid w:val="00507C96"/>
    <w:rsid w:val="00511944"/>
    <w:rsid w:val="00511EB9"/>
    <w:rsid w:val="00512C2F"/>
    <w:rsid w:val="00512EBC"/>
    <w:rsid w:val="0051373C"/>
    <w:rsid w:val="00513B93"/>
    <w:rsid w:val="00513CBD"/>
    <w:rsid w:val="00513E99"/>
    <w:rsid w:val="00515108"/>
    <w:rsid w:val="00515975"/>
    <w:rsid w:val="00517CB7"/>
    <w:rsid w:val="00520566"/>
    <w:rsid w:val="00520CB6"/>
    <w:rsid w:val="005214AE"/>
    <w:rsid w:val="00521D6C"/>
    <w:rsid w:val="00521E30"/>
    <w:rsid w:val="005226DB"/>
    <w:rsid w:val="005231D4"/>
    <w:rsid w:val="005234A7"/>
    <w:rsid w:val="00523B59"/>
    <w:rsid w:val="00524CD5"/>
    <w:rsid w:val="005264EF"/>
    <w:rsid w:val="00526BC2"/>
    <w:rsid w:val="005304F5"/>
    <w:rsid w:val="00530959"/>
    <w:rsid w:val="00530ADD"/>
    <w:rsid w:val="00531619"/>
    <w:rsid w:val="00532A7B"/>
    <w:rsid w:val="005339E6"/>
    <w:rsid w:val="0053400E"/>
    <w:rsid w:val="00535319"/>
    <w:rsid w:val="0053689B"/>
    <w:rsid w:val="005374A0"/>
    <w:rsid w:val="00537FEC"/>
    <w:rsid w:val="00541E1F"/>
    <w:rsid w:val="005425FB"/>
    <w:rsid w:val="005432F0"/>
    <w:rsid w:val="00543DDB"/>
    <w:rsid w:val="00543EDE"/>
    <w:rsid w:val="005452B2"/>
    <w:rsid w:val="00545ACE"/>
    <w:rsid w:val="00545C52"/>
    <w:rsid w:val="00545DA0"/>
    <w:rsid w:val="005462D1"/>
    <w:rsid w:val="00546772"/>
    <w:rsid w:val="00546F68"/>
    <w:rsid w:val="005472D5"/>
    <w:rsid w:val="0054751C"/>
    <w:rsid w:val="00547A4F"/>
    <w:rsid w:val="00547C91"/>
    <w:rsid w:val="00550685"/>
    <w:rsid w:val="00550A05"/>
    <w:rsid w:val="00550A43"/>
    <w:rsid w:val="00550C99"/>
    <w:rsid w:val="00553DF9"/>
    <w:rsid w:val="00554C65"/>
    <w:rsid w:val="0055552B"/>
    <w:rsid w:val="00555533"/>
    <w:rsid w:val="00555734"/>
    <w:rsid w:val="0055675C"/>
    <w:rsid w:val="00556926"/>
    <w:rsid w:val="00556F66"/>
    <w:rsid w:val="005572DD"/>
    <w:rsid w:val="0055769B"/>
    <w:rsid w:val="00561356"/>
    <w:rsid w:val="00561B6A"/>
    <w:rsid w:val="00561D30"/>
    <w:rsid w:val="00563C47"/>
    <w:rsid w:val="00563C7B"/>
    <w:rsid w:val="00564241"/>
    <w:rsid w:val="00565204"/>
    <w:rsid w:val="00566235"/>
    <w:rsid w:val="00566E17"/>
    <w:rsid w:val="005672A5"/>
    <w:rsid w:val="005702B9"/>
    <w:rsid w:val="00571691"/>
    <w:rsid w:val="00571846"/>
    <w:rsid w:val="005718F3"/>
    <w:rsid w:val="00571C61"/>
    <w:rsid w:val="00571CD4"/>
    <w:rsid w:val="00573298"/>
    <w:rsid w:val="00573430"/>
    <w:rsid w:val="00573612"/>
    <w:rsid w:val="005753F7"/>
    <w:rsid w:val="00575AC0"/>
    <w:rsid w:val="00576563"/>
    <w:rsid w:val="005768B0"/>
    <w:rsid w:val="00576A9D"/>
    <w:rsid w:val="005770F3"/>
    <w:rsid w:val="005775B6"/>
    <w:rsid w:val="00577F05"/>
    <w:rsid w:val="00582A0E"/>
    <w:rsid w:val="00583512"/>
    <w:rsid w:val="0058471F"/>
    <w:rsid w:val="00584829"/>
    <w:rsid w:val="00585286"/>
    <w:rsid w:val="0058555C"/>
    <w:rsid w:val="0058579C"/>
    <w:rsid w:val="005861E7"/>
    <w:rsid w:val="00586917"/>
    <w:rsid w:val="005871E3"/>
    <w:rsid w:val="005879D7"/>
    <w:rsid w:val="00587BCA"/>
    <w:rsid w:val="00590085"/>
    <w:rsid w:val="005901BC"/>
    <w:rsid w:val="00591B38"/>
    <w:rsid w:val="0059281D"/>
    <w:rsid w:val="00593ACB"/>
    <w:rsid w:val="00595F3C"/>
    <w:rsid w:val="00596894"/>
    <w:rsid w:val="0059737A"/>
    <w:rsid w:val="005A1331"/>
    <w:rsid w:val="005A266A"/>
    <w:rsid w:val="005A3401"/>
    <w:rsid w:val="005A3E4E"/>
    <w:rsid w:val="005A47CB"/>
    <w:rsid w:val="005A7774"/>
    <w:rsid w:val="005B02B2"/>
    <w:rsid w:val="005B06B8"/>
    <w:rsid w:val="005B0E09"/>
    <w:rsid w:val="005B1FD8"/>
    <w:rsid w:val="005B2511"/>
    <w:rsid w:val="005B3BDF"/>
    <w:rsid w:val="005B466D"/>
    <w:rsid w:val="005B5F52"/>
    <w:rsid w:val="005C1F2A"/>
    <w:rsid w:val="005C25B7"/>
    <w:rsid w:val="005C2D00"/>
    <w:rsid w:val="005C384D"/>
    <w:rsid w:val="005C3FAC"/>
    <w:rsid w:val="005C45EA"/>
    <w:rsid w:val="005C49EC"/>
    <w:rsid w:val="005C5EC3"/>
    <w:rsid w:val="005D279D"/>
    <w:rsid w:val="005D3250"/>
    <w:rsid w:val="005D3FD0"/>
    <w:rsid w:val="005D67AD"/>
    <w:rsid w:val="005D6840"/>
    <w:rsid w:val="005D78B2"/>
    <w:rsid w:val="005E01AC"/>
    <w:rsid w:val="005E161B"/>
    <w:rsid w:val="005E3152"/>
    <w:rsid w:val="005E4127"/>
    <w:rsid w:val="005E56C6"/>
    <w:rsid w:val="005E587C"/>
    <w:rsid w:val="005E58C5"/>
    <w:rsid w:val="005E5E68"/>
    <w:rsid w:val="005E61CB"/>
    <w:rsid w:val="005E6275"/>
    <w:rsid w:val="005E6AA1"/>
    <w:rsid w:val="005E6E8E"/>
    <w:rsid w:val="005F01F4"/>
    <w:rsid w:val="005F01FC"/>
    <w:rsid w:val="005F0CA0"/>
    <w:rsid w:val="005F154C"/>
    <w:rsid w:val="005F22CC"/>
    <w:rsid w:val="005F243C"/>
    <w:rsid w:val="005F34DB"/>
    <w:rsid w:val="005F3CE1"/>
    <w:rsid w:val="005F4379"/>
    <w:rsid w:val="005F4537"/>
    <w:rsid w:val="005F4F2E"/>
    <w:rsid w:val="005F50E2"/>
    <w:rsid w:val="005F5379"/>
    <w:rsid w:val="005F56DB"/>
    <w:rsid w:val="005F596E"/>
    <w:rsid w:val="005F59DF"/>
    <w:rsid w:val="005F7783"/>
    <w:rsid w:val="005F7876"/>
    <w:rsid w:val="005F7CAF"/>
    <w:rsid w:val="006007BF"/>
    <w:rsid w:val="006008C9"/>
    <w:rsid w:val="00601B81"/>
    <w:rsid w:val="00601D63"/>
    <w:rsid w:val="00603732"/>
    <w:rsid w:val="00604F7A"/>
    <w:rsid w:val="00605BC5"/>
    <w:rsid w:val="00605EAA"/>
    <w:rsid w:val="00606D4F"/>
    <w:rsid w:val="00607628"/>
    <w:rsid w:val="00607BED"/>
    <w:rsid w:val="00607CA8"/>
    <w:rsid w:val="00607CBC"/>
    <w:rsid w:val="0061026A"/>
    <w:rsid w:val="00611415"/>
    <w:rsid w:val="0061156D"/>
    <w:rsid w:val="006116B2"/>
    <w:rsid w:val="00611748"/>
    <w:rsid w:val="006117D7"/>
    <w:rsid w:val="00612887"/>
    <w:rsid w:val="00612D9A"/>
    <w:rsid w:val="00613235"/>
    <w:rsid w:val="00613884"/>
    <w:rsid w:val="0061588B"/>
    <w:rsid w:val="00616D57"/>
    <w:rsid w:val="0062054D"/>
    <w:rsid w:val="00622848"/>
    <w:rsid w:val="0062284A"/>
    <w:rsid w:val="006233A7"/>
    <w:rsid w:val="006248E3"/>
    <w:rsid w:val="006250A4"/>
    <w:rsid w:val="0062603A"/>
    <w:rsid w:val="00626C60"/>
    <w:rsid w:val="00630966"/>
    <w:rsid w:val="00631C59"/>
    <w:rsid w:val="00632CE8"/>
    <w:rsid w:val="00632F5A"/>
    <w:rsid w:val="006343E6"/>
    <w:rsid w:val="006344EE"/>
    <w:rsid w:val="00634D8E"/>
    <w:rsid w:val="0063582A"/>
    <w:rsid w:val="006358CF"/>
    <w:rsid w:val="0063774B"/>
    <w:rsid w:val="00640526"/>
    <w:rsid w:val="00641976"/>
    <w:rsid w:val="006421C4"/>
    <w:rsid w:val="00642959"/>
    <w:rsid w:val="00645A96"/>
    <w:rsid w:val="006478B1"/>
    <w:rsid w:val="00651A1D"/>
    <w:rsid w:val="00653E9C"/>
    <w:rsid w:val="00654748"/>
    <w:rsid w:val="00655494"/>
    <w:rsid w:val="0065562D"/>
    <w:rsid w:val="00657D22"/>
    <w:rsid w:val="00660016"/>
    <w:rsid w:val="00661CFE"/>
    <w:rsid w:val="0066283B"/>
    <w:rsid w:val="006631DE"/>
    <w:rsid w:val="0066390B"/>
    <w:rsid w:val="00663A85"/>
    <w:rsid w:val="00663E51"/>
    <w:rsid w:val="00664B84"/>
    <w:rsid w:val="00664B90"/>
    <w:rsid w:val="006658A3"/>
    <w:rsid w:val="006658DE"/>
    <w:rsid w:val="00665C55"/>
    <w:rsid w:val="0066600E"/>
    <w:rsid w:val="00667C02"/>
    <w:rsid w:val="00671252"/>
    <w:rsid w:val="006715A5"/>
    <w:rsid w:val="0067167A"/>
    <w:rsid w:val="00672608"/>
    <w:rsid w:val="00672FB0"/>
    <w:rsid w:val="0067447D"/>
    <w:rsid w:val="0067493E"/>
    <w:rsid w:val="006750C2"/>
    <w:rsid w:val="00675E01"/>
    <w:rsid w:val="006765EE"/>
    <w:rsid w:val="006774D6"/>
    <w:rsid w:val="0068076C"/>
    <w:rsid w:val="00680D9B"/>
    <w:rsid w:val="00680FF5"/>
    <w:rsid w:val="00682461"/>
    <w:rsid w:val="0068284F"/>
    <w:rsid w:val="00682C2E"/>
    <w:rsid w:val="006831D2"/>
    <w:rsid w:val="0068497D"/>
    <w:rsid w:val="00684F11"/>
    <w:rsid w:val="00685CBF"/>
    <w:rsid w:val="00686C96"/>
    <w:rsid w:val="006872C8"/>
    <w:rsid w:val="00691479"/>
    <w:rsid w:val="00692047"/>
    <w:rsid w:val="00693473"/>
    <w:rsid w:val="00693C31"/>
    <w:rsid w:val="00693E3A"/>
    <w:rsid w:val="0069527A"/>
    <w:rsid w:val="006966B7"/>
    <w:rsid w:val="00697B33"/>
    <w:rsid w:val="006A00C2"/>
    <w:rsid w:val="006A0F91"/>
    <w:rsid w:val="006A3046"/>
    <w:rsid w:val="006A6AD7"/>
    <w:rsid w:val="006A79BE"/>
    <w:rsid w:val="006A7C83"/>
    <w:rsid w:val="006B01F3"/>
    <w:rsid w:val="006B199D"/>
    <w:rsid w:val="006B2095"/>
    <w:rsid w:val="006B2A41"/>
    <w:rsid w:val="006B2BB2"/>
    <w:rsid w:val="006B2D1D"/>
    <w:rsid w:val="006B321D"/>
    <w:rsid w:val="006B47A1"/>
    <w:rsid w:val="006B4ABF"/>
    <w:rsid w:val="006B4ED1"/>
    <w:rsid w:val="006B503B"/>
    <w:rsid w:val="006B5BF9"/>
    <w:rsid w:val="006B6F33"/>
    <w:rsid w:val="006B7CA6"/>
    <w:rsid w:val="006B7CDE"/>
    <w:rsid w:val="006B7DC5"/>
    <w:rsid w:val="006B7F58"/>
    <w:rsid w:val="006C0570"/>
    <w:rsid w:val="006C17AA"/>
    <w:rsid w:val="006C2F7D"/>
    <w:rsid w:val="006C4EE8"/>
    <w:rsid w:val="006C5F18"/>
    <w:rsid w:val="006C6269"/>
    <w:rsid w:val="006C63E6"/>
    <w:rsid w:val="006C6770"/>
    <w:rsid w:val="006C7FE4"/>
    <w:rsid w:val="006D14B5"/>
    <w:rsid w:val="006D1800"/>
    <w:rsid w:val="006D1AEA"/>
    <w:rsid w:val="006D1C1E"/>
    <w:rsid w:val="006D235C"/>
    <w:rsid w:val="006D2EF2"/>
    <w:rsid w:val="006D39E6"/>
    <w:rsid w:val="006D3F50"/>
    <w:rsid w:val="006D430D"/>
    <w:rsid w:val="006D43D5"/>
    <w:rsid w:val="006D503B"/>
    <w:rsid w:val="006E1251"/>
    <w:rsid w:val="006E45F7"/>
    <w:rsid w:val="006E57FE"/>
    <w:rsid w:val="006E59F9"/>
    <w:rsid w:val="006E64C6"/>
    <w:rsid w:val="006E6739"/>
    <w:rsid w:val="006E68C4"/>
    <w:rsid w:val="006E7186"/>
    <w:rsid w:val="006E7A1B"/>
    <w:rsid w:val="006F16CA"/>
    <w:rsid w:val="006F196B"/>
    <w:rsid w:val="006F1A03"/>
    <w:rsid w:val="006F1A60"/>
    <w:rsid w:val="006F29CC"/>
    <w:rsid w:val="006F2BBD"/>
    <w:rsid w:val="006F312C"/>
    <w:rsid w:val="006F5470"/>
    <w:rsid w:val="006F57FB"/>
    <w:rsid w:val="006F63B6"/>
    <w:rsid w:val="006F6688"/>
    <w:rsid w:val="006F7485"/>
    <w:rsid w:val="006F7772"/>
    <w:rsid w:val="006F7B2B"/>
    <w:rsid w:val="0070100A"/>
    <w:rsid w:val="00701165"/>
    <w:rsid w:val="0070198F"/>
    <w:rsid w:val="00702542"/>
    <w:rsid w:val="007029DE"/>
    <w:rsid w:val="0070378A"/>
    <w:rsid w:val="00703FB7"/>
    <w:rsid w:val="00704C07"/>
    <w:rsid w:val="00704C4E"/>
    <w:rsid w:val="00706C21"/>
    <w:rsid w:val="00710217"/>
    <w:rsid w:val="00710711"/>
    <w:rsid w:val="007109C9"/>
    <w:rsid w:val="00711EFC"/>
    <w:rsid w:val="007123BE"/>
    <w:rsid w:val="00712EAF"/>
    <w:rsid w:val="00713F9D"/>
    <w:rsid w:val="00715F58"/>
    <w:rsid w:val="0071601A"/>
    <w:rsid w:val="00720390"/>
    <w:rsid w:val="00720C81"/>
    <w:rsid w:val="00723376"/>
    <w:rsid w:val="007235DF"/>
    <w:rsid w:val="0072480D"/>
    <w:rsid w:val="00724D28"/>
    <w:rsid w:val="007254A8"/>
    <w:rsid w:val="00730B3C"/>
    <w:rsid w:val="007324EC"/>
    <w:rsid w:val="0073293B"/>
    <w:rsid w:val="00733B44"/>
    <w:rsid w:val="007360BA"/>
    <w:rsid w:val="00736222"/>
    <w:rsid w:val="0073623F"/>
    <w:rsid w:val="00736F98"/>
    <w:rsid w:val="00740584"/>
    <w:rsid w:val="007406D9"/>
    <w:rsid w:val="00741BEE"/>
    <w:rsid w:val="007422A1"/>
    <w:rsid w:val="007422C0"/>
    <w:rsid w:val="00742E94"/>
    <w:rsid w:val="007430C2"/>
    <w:rsid w:val="00743901"/>
    <w:rsid w:val="00743B73"/>
    <w:rsid w:val="00743FC3"/>
    <w:rsid w:val="0074530E"/>
    <w:rsid w:val="0074532F"/>
    <w:rsid w:val="007454E1"/>
    <w:rsid w:val="00745635"/>
    <w:rsid w:val="007457E8"/>
    <w:rsid w:val="007463A8"/>
    <w:rsid w:val="00746434"/>
    <w:rsid w:val="00746AA3"/>
    <w:rsid w:val="00746AF7"/>
    <w:rsid w:val="00746C19"/>
    <w:rsid w:val="00750C14"/>
    <w:rsid w:val="0075115E"/>
    <w:rsid w:val="00751831"/>
    <w:rsid w:val="00751899"/>
    <w:rsid w:val="0075464C"/>
    <w:rsid w:val="00754EBE"/>
    <w:rsid w:val="00755640"/>
    <w:rsid w:val="00755E55"/>
    <w:rsid w:val="00755ECF"/>
    <w:rsid w:val="00756439"/>
    <w:rsid w:val="00756821"/>
    <w:rsid w:val="00757F18"/>
    <w:rsid w:val="00760152"/>
    <w:rsid w:val="0076024B"/>
    <w:rsid w:val="007615A4"/>
    <w:rsid w:val="00761BBB"/>
    <w:rsid w:val="00762A12"/>
    <w:rsid w:val="007630A3"/>
    <w:rsid w:val="007657A1"/>
    <w:rsid w:val="00765824"/>
    <w:rsid w:val="00765ECA"/>
    <w:rsid w:val="00766B0C"/>
    <w:rsid w:val="00766B5F"/>
    <w:rsid w:val="0076748F"/>
    <w:rsid w:val="00770231"/>
    <w:rsid w:val="00771197"/>
    <w:rsid w:val="00771793"/>
    <w:rsid w:val="00771DF9"/>
    <w:rsid w:val="00773523"/>
    <w:rsid w:val="00773676"/>
    <w:rsid w:val="00773D91"/>
    <w:rsid w:val="007749EA"/>
    <w:rsid w:val="007779C8"/>
    <w:rsid w:val="00782100"/>
    <w:rsid w:val="00782BE3"/>
    <w:rsid w:val="00783158"/>
    <w:rsid w:val="00784FEA"/>
    <w:rsid w:val="007858E4"/>
    <w:rsid w:val="00786717"/>
    <w:rsid w:val="007877EF"/>
    <w:rsid w:val="00787BE1"/>
    <w:rsid w:val="00792E8A"/>
    <w:rsid w:val="0079346D"/>
    <w:rsid w:val="007951F8"/>
    <w:rsid w:val="0079521C"/>
    <w:rsid w:val="007962DA"/>
    <w:rsid w:val="00797192"/>
    <w:rsid w:val="00797F70"/>
    <w:rsid w:val="007A0E2B"/>
    <w:rsid w:val="007A1598"/>
    <w:rsid w:val="007A22F9"/>
    <w:rsid w:val="007A2A9F"/>
    <w:rsid w:val="007A43B6"/>
    <w:rsid w:val="007A5399"/>
    <w:rsid w:val="007A68AF"/>
    <w:rsid w:val="007A709B"/>
    <w:rsid w:val="007A75C2"/>
    <w:rsid w:val="007A7E75"/>
    <w:rsid w:val="007B0216"/>
    <w:rsid w:val="007B0229"/>
    <w:rsid w:val="007B0B9A"/>
    <w:rsid w:val="007B1B3D"/>
    <w:rsid w:val="007B3CFC"/>
    <w:rsid w:val="007B5014"/>
    <w:rsid w:val="007B5247"/>
    <w:rsid w:val="007B5B76"/>
    <w:rsid w:val="007B5DFB"/>
    <w:rsid w:val="007B5EAD"/>
    <w:rsid w:val="007B71EB"/>
    <w:rsid w:val="007B75A7"/>
    <w:rsid w:val="007C1AB5"/>
    <w:rsid w:val="007C1C58"/>
    <w:rsid w:val="007C1DF4"/>
    <w:rsid w:val="007C293F"/>
    <w:rsid w:val="007C2A5C"/>
    <w:rsid w:val="007C3CB3"/>
    <w:rsid w:val="007C3CE7"/>
    <w:rsid w:val="007C4811"/>
    <w:rsid w:val="007C6F66"/>
    <w:rsid w:val="007C7C88"/>
    <w:rsid w:val="007D0F98"/>
    <w:rsid w:val="007D1318"/>
    <w:rsid w:val="007D14A4"/>
    <w:rsid w:val="007D27FB"/>
    <w:rsid w:val="007D4458"/>
    <w:rsid w:val="007D4A00"/>
    <w:rsid w:val="007D5037"/>
    <w:rsid w:val="007D56B2"/>
    <w:rsid w:val="007D56CC"/>
    <w:rsid w:val="007D5DFD"/>
    <w:rsid w:val="007D60DA"/>
    <w:rsid w:val="007E0C87"/>
    <w:rsid w:val="007E116B"/>
    <w:rsid w:val="007E2429"/>
    <w:rsid w:val="007E2CFC"/>
    <w:rsid w:val="007E37E2"/>
    <w:rsid w:val="007E487F"/>
    <w:rsid w:val="007E5387"/>
    <w:rsid w:val="007E5ABA"/>
    <w:rsid w:val="007E5CAC"/>
    <w:rsid w:val="007E60A6"/>
    <w:rsid w:val="007F09B5"/>
    <w:rsid w:val="007F13CD"/>
    <w:rsid w:val="007F1F95"/>
    <w:rsid w:val="007F2B8F"/>
    <w:rsid w:val="007F3768"/>
    <w:rsid w:val="007F39A7"/>
    <w:rsid w:val="007F41A4"/>
    <w:rsid w:val="007F554E"/>
    <w:rsid w:val="007F674F"/>
    <w:rsid w:val="007F6C9E"/>
    <w:rsid w:val="007F7029"/>
    <w:rsid w:val="008000FD"/>
    <w:rsid w:val="008007AD"/>
    <w:rsid w:val="008015DB"/>
    <w:rsid w:val="0080165A"/>
    <w:rsid w:val="008024EA"/>
    <w:rsid w:val="0080473B"/>
    <w:rsid w:val="00805A77"/>
    <w:rsid w:val="008069B7"/>
    <w:rsid w:val="008069D5"/>
    <w:rsid w:val="008118C6"/>
    <w:rsid w:val="00811F85"/>
    <w:rsid w:val="00812251"/>
    <w:rsid w:val="00812A9F"/>
    <w:rsid w:val="00812CF3"/>
    <w:rsid w:val="00812DEA"/>
    <w:rsid w:val="00813D73"/>
    <w:rsid w:val="00814F74"/>
    <w:rsid w:val="008153CB"/>
    <w:rsid w:val="0081637E"/>
    <w:rsid w:val="008168FE"/>
    <w:rsid w:val="00816D3A"/>
    <w:rsid w:val="0081709C"/>
    <w:rsid w:val="008176CD"/>
    <w:rsid w:val="00817A2D"/>
    <w:rsid w:val="00820261"/>
    <w:rsid w:val="00820273"/>
    <w:rsid w:val="00822456"/>
    <w:rsid w:val="0082284E"/>
    <w:rsid w:val="00824950"/>
    <w:rsid w:val="00824C7B"/>
    <w:rsid w:val="00824C9D"/>
    <w:rsid w:val="008267D6"/>
    <w:rsid w:val="00826ECE"/>
    <w:rsid w:val="00827D9F"/>
    <w:rsid w:val="00830096"/>
    <w:rsid w:val="00830436"/>
    <w:rsid w:val="00830E39"/>
    <w:rsid w:val="0083125C"/>
    <w:rsid w:val="008312AB"/>
    <w:rsid w:val="00831402"/>
    <w:rsid w:val="008319FA"/>
    <w:rsid w:val="008325DC"/>
    <w:rsid w:val="008351CA"/>
    <w:rsid w:val="00835654"/>
    <w:rsid w:val="00835FE7"/>
    <w:rsid w:val="00836B4B"/>
    <w:rsid w:val="00837974"/>
    <w:rsid w:val="00837F54"/>
    <w:rsid w:val="00840164"/>
    <w:rsid w:val="00841F69"/>
    <w:rsid w:val="00842169"/>
    <w:rsid w:val="008425BC"/>
    <w:rsid w:val="00843C12"/>
    <w:rsid w:val="0084431D"/>
    <w:rsid w:val="008444D7"/>
    <w:rsid w:val="008449B6"/>
    <w:rsid w:val="008470AF"/>
    <w:rsid w:val="0085117A"/>
    <w:rsid w:val="008519AC"/>
    <w:rsid w:val="008519FA"/>
    <w:rsid w:val="00851CCC"/>
    <w:rsid w:val="008528CC"/>
    <w:rsid w:val="008529EF"/>
    <w:rsid w:val="00853318"/>
    <w:rsid w:val="00853C5C"/>
    <w:rsid w:val="00854764"/>
    <w:rsid w:val="00854EFD"/>
    <w:rsid w:val="00856283"/>
    <w:rsid w:val="008563CF"/>
    <w:rsid w:val="008567A8"/>
    <w:rsid w:val="00856A5B"/>
    <w:rsid w:val="00857047"/>
    <w:rsid w:val="00857EB2"/>
    <w:rsid w:val="00857F2F"/>
    <w:rsid w:val="008603C0"/>
    <w:rsid w:val="00860735"/>
    <w:rsid w:val="00860F19"/>
    <w:rsid w:val="00861156"/>
    <w:rsid w:val="00861A82"/>
    <w:rsid w:val="008621F0"/>
    <w:rsid w:val="008629AE"/>
    <w:rsid w:val="00863F34"/>
    <w:rsid w:val="00864D8F"/>
    <w:rsid w:val="008652CB"/>
    <w:rsid w:val="0086531A"/>
    <w:rsid w:val="00865550"/>
    <w:rsid w:val="008669AF"/>
    <w:rsid w:val="00866C05"/>
    <w:rsid w:val="00866F97"/>
    <w:rsid w:val="00870886"/>
    <w:rsid w:val="00870AA9"/>
    <w:rsid w:val="00870FE2"/>
    <w:rsid w:val="008743BA"/>
    <w:rsid w:val="008744F3"/>
    <w:rsid w:val="00874D44"/>
    <w:rsid w:val="008768B2"/>
    <w:rsid w:val="00877302"/>
    <w:rsid w:val="0088637F"/>
    <w:rsid w:val="00886E67"/>
    <w:rsid w:val="00887192"/>
    <w:rsid w:val="00887CC2"/>
    <w:rsid w:val="00887D82"/>
    <w:rsid w:val="00890D77"/>
    <w:rsid w:val="00891B6B"/>
    <w:rsid w:val="00892A3C"/>
    <w:rsid w:val="00893121"/>
    <w:rsid w:val="008934DD"/>
    <w:rsid w:val="008951C6"/>
    <w:rsid w:val="00895B83"/>
    <w:rsid w:val="00895E7F"/>
    <w:rsid w:val="00896E22"/>
    <w:rsid w:val="00897A83"/>
    <w:rsid w:val="008A052A"/>
    <w:rsid w:val="008A1136"/>
    <w:rsid w:val="008A1336"/>
    <w:rsid w:val="008A321F"/>
    <w:rsid w:val="008A3822"/>
    <w:rsid w:val="008A3BAA"/>
    <w:rsid w:val="008A4F92"/>
    <w:rsid w:val="008A542B"/>
    <w:rsid w:val="008A57F1"/>
    <w:rsid w:val="008A583D"/>
    <w:rsid w:val="008A5C5F"/>
    <w:rsid w:val="008A6C0E"/>
    <w:rsid w:val="008A6C29"/>
    <w:rsid w:val="008A6D01"/>
    <w:rsid w:val="008A74E9"/>
    <w:rsid w:val="008B098E"/>
    <w:rsid w:val="008B0EA9"/>
    <w:rsid w:val="008B28AA"/>
    <w:rsid w:val="008B32AE"/>
    <w:rsid w:val="008B3A80"/>
    <w:rsid w:val="008B4AEF"/>
    <w:rsid w:val="008B4FC3"/>
    <w:rsid w:val="008B56E0"/>
    <w:rsid w:val="008B67FB"/>
    <w:rsid w:val="008B7F0A"/>
    <w:rsid w:val="008C0FE9"/>
    <w:rsid w:val="008C3B88"/>
    <w:rsid w:val="008C6296"/>
    <w:rsid w:val="008C7E4C"/>
    <w:rsid w:val="008C7FC9"/>
    <w:rsid w:val="008D0274"/>
    <w:rsid w:val="008D1A95"/>
    <w:rsid w:val="008D2898"/>
    <w:rsid w:val="008D324F"/>
    <w:rsid w:val="008D5EDA"/>
    <w:rsid w:val="008D6526"/>
    <w:rsid w:val="008D65AA"/>
    <w:rsid w:val="008D6A2E"/>
    <w:rsid w:val="008D6E2A"/>
    <w:rsid w:val="008E00A1"/>
    <w:rsid w:val="008E0813"/>
    <w:rsid w:val="008E1B12"/>
    <w:rsid w:val="008E1DB1"/>
    <w:rsid w:val="008E3900"/>
    <w:rsid w:val="008E4B3B"/>
    <w:rsid w:val="008E4CF5"/>
    <w:rsid w:val="008E6F99"/>
    <w:rsid w:val="008E6FB7"/>
    <w:rsid w:val="008E715B"/>
    <w:rsid w:val="008E71A3"/>
    <w:rsid w:val="008F12AF"/>
    <w:rsid w:val="008F24AE"/>
    <w:rsid w:val="008F2965"/>
    <w:rsid w:val="008F2F22"/>
    <w:rsid w:val="008F7439"/>
    <w:rsid w:val="008F79F5"/>
    <w:rsid w:val="008F7FA8"/>
    <w:rsid w:val="00900FAE"/>
    <w:rsid w:val="00903820"/>
    <w:rsid w:val="00904403"/>
    <w:rsid w:val="0090447B"/>
    <w:rsid w:val="009054E1"/>
    <w:rsid w:val="0090561F"/>
    <w:rsid w:val="00905C03"/>
    <w:rsid w:val="0090678F"/>
    <w:rsid w:val="00906A3D"/>
    <w:rsid w:val="00907740"/>
    <w:rsid w:val="00907CAC"/>
    <w:rsid w:val="00907CAD"/>
    <w:rsid w:val="009104EC"/>
    <w:rsid w:val="00910673"/>
    <w:rsid w:val="00914169"/>
    <w:rsid w:val="00915430"/>
    <w:rsid w:val="00915C50"/>
    <w:rsid w:val="0091629F"/>
    <w:rsid w:val="00916D6B"/>
    <w:rsid w:val="00916EDC"/>
    <w:rsid w:val="009178AA"/>
    <w:rsid w:val="009209B6"/>
    <w:rsid w:val="00921216"/>
    <w:rsid w:val="00921642"/>
    <w:rsid w:val="009222AA"/>
    <w:rsid w:val="009230BF"/>
    <w:rsid w:val="00923857"/>
    <w:rsid w:val="0092636A"/>
    <w:rsid w:val="00926BDE"/>
    <w:rsid w:val="00930609"/>
    <w:rsid w:val="0093095C"/>
    <w:rsid w:val="00930E40"/>
    <w:rsid w:val="0093117C"/>
    <w:rsid w:val="00931E95"/>
    <w:rsid w:val="009320CE"/>
    <w:rsid w:val="0093238C"/>
    <w:rsid w:val="00932E01"/>
    <w:rsid w:val="00934B60"/>
    <w:rsid w:val="00934EEA"/>
    <w:rsid w:val="00935F5A"/>
    <w:rsid w:val="00937117"/>
    <w:rsid w:val="0093745B"/>
    <w:rsid w:val="009400AC"/>
    <w:rsid w:val="00941DC5"/>
    <w:rsid w:val="00942601"/>
    <w:rsid w:val="00942A74"/>
    <w:rsid w:val="00943158"/>
    <w:rsid w:val="00943414"/>
    <w:rsid w:val="00943AAB"/>
    <w:rsid w:val="00944553"/>
    <w:rsid w:val="00944D91"/>
    <w:rsid w:val="009453FF"/>
    <w:rsid w:val="009461D5"/>
    <w:rsid w:val="00946637"/>
    <w:rsid w:val="00947CF9"/>
    <w:rsid w:val="00951094"/>
    <w:rsid w:val="00952662"/>
    <w:rsid w:val="00952ACE"/>
    <w:rsid w:val="009534DA"/>
    <w:rsid w:val="009537B2"/>
    <w:rsid w:val="009539EC"/>
    <w:rsid w:val="009551F5"/>
    <w:rsid w:val="0095545D"/>
    <w:rsid w:val="00956F30"/>
    <w:rsid w:val="009578ED"/>
    <w:rsid w:val="009611DB"/>
    <w:rsid w:val="00961DF3"/>
    <w:rsid w:val="00961E1B"/>
    <w:rsid w:val="0096202A"/>
    <w:rsid w:val="0096212D"/>
    <w:rsid w:val="00963757"/>
    <w:rsid w:val="00964C66"/>
    <w:rsid w:val="009652A8"/>
    <w:rsid w:val="00965909"/>
    <w:rsid w:val="00966526"/>
    <w:rsid w:val="0096671C"/>
    <w:rsid w:val="00966C77"/>
    <w:rsid w:val="00966C87"/>
    <w:rsid w:val="0097143D"/>
    <w:rsid w:val="00971CD7"/>
    <w:rsid w:val="00971D44"/>
    <w:rsid w:val="00973274"/>
    <w:rsid w:val="00974ABB"/>
    <w:rsid w:val="009753F5"/>
    <w:rsid w:val="00975708"/>
    <w:rsid w:val="0097579D"/>
    <w:rsid w:val="00976689"/>
    <w:rsid w:val="00980035"/>
    <w:rsid w:val="00980102"/>
    <w:rsid w:val="009801A9"/>
    <w:rsid w:val="00980248"/>
    <w:rsid w:val="00980877"/>
    <w:rsid w:val="0098117F"/>
    <w:rsid w:val="00981A2F"/>
    <w:rsid w:val="00981B78"/>
    <w:rsid w:val="0098254D"/>
    <w:rsid w:val="00983A9B"/>
    <w:rsid w:val="00984B94"/>
    <w:rsid w:val="00984E5B"/>
    <w:rsid w:val="00985AF5"/>
    <w:rsid w:val="00986A9D"/>
    <w:rsid w:val="00986AFA"/>
    <w:rsid w:val="009870DB"/>
    <w:rsid w:val="00987F40"/>
    <w:rsid w:val="00990BC0"/>
    <w:rsid w:val="00991CFB"/>
    <w:rsid w:val="00993C4F"/>
    <w:rsid w:val="00995D15"/>
    <w:rsid w:val="00996C51"/>
    <w:rsid w:val="00997493"/>
    <w:rsid w:val="009974B4"/>
    <w:rsid w:val="009A0545"/>
    <w:rsid w:val="009A1017"/>
    <w:rsid w:val="009A1050"/>
    <w:rsid w:val="009A2C86"/>
    <w:rsid w:val="009A3921"/>
    <w:rsid w:val="009A3CFF"/>
    <w:rsid w:val="009A47EC"/>
    <w:rsid w:val="009A4852"/>
    <w:rsid w:val="009A4911"/>
    <w:rsid w:val="009A4FF7"/>
    <w:rsid w:val="009A63D9"/>
    <w:rsid w:val="009A66DD"/>
    <w:rsid w:val="009A66E1"/>
    <w:rsid w:val="009A6926"/>
    <w:rsid w:val="009A7798"/>
    <w:rsid w:val="009B060C"/>
    <w:rsid w:val="009B0D57"/>
    <w:rsid w:val="009B2F42"/>
    <w:rsid w:val="009B40E9"/>
    <w:rsid w:val="009B476D"/>
    <w:rsid w:val="009B5216"/>
    <w:rsid w:val="009B548F"/>
    <w:rsid w:val="009B5D7B"/>
    <w:rsid w:val="009B624C"/>
    <w:rsid w:val="009B7B69"/>
    <w:rsid w:val="009B7C4A"/>
    <w:rsid w:val="009C006D"/>
    <w:rsid w:val="009C0A6E"/>
    <w:rsid w:val="009C1309"/>
    <w:rsid w:val="009C1AB2"/>
    <w:rsid w:val="009C1F70"/>
    <w:rsid w:val="009C29D8"/>
    <w:rsid w:val="009C2A23"/>
    <w:rsid w:val="009C31D1"/>
    <w:rsid w:val="009C37D6"/>
    <w:rsid w:val="009C3F55"/>
    <w:rsid w:val="009C4555"/>
    <w:rsid w:val="009C49DA"/>
    <w:rsid w:val="009C4A13"/>
    <w:rsid w:val="009C632F"/>
    <w:rsid w:val="009C6B36"/>
    <w:rsid w:val="009C6C5F"/>
    <w:rsid w:val="009C7A81"/>
    <w:rsid w:val="009D1914"/>
    <w:rsid w:val="009D3199"/>
    <w:rsid w:val="009D45DF"/>
    <w:rsid w:val="009D4697"/>
    <w:rsid w:val="009D4895"/>
    <w:rsid w:val="009D4FEC"/>
    <w:rsid w:val="009D58AB"/>
    <w:rsid w:val="009D5B41"/>
    <w:rsid w:val="009D64C2"/>
    <w:rsid w:val="009D659A"/>
    <w:rsid w:val="009D767A"/>
    <w:rsid w:val="009E0805"/>
    <w:rsid w:val="009E1200"/>
    <w:rsid w:val="009E1934"/>
    <w:rsid w:val="009E266C"/>
    <w:rsid w:val="009F0179"/>
    <w:rsid w:val="009F13A0"/>
    <w:rsid w:val="009F1D95"/>
    <w:rsid w:val="009F2102"/>
    <w:rsid w:val="009F2D00"/>
    <w:rsid w:val="009F2DC6"/>
    <w:rsid w:val="009F308D"/>
    <w:rsid w:val="009F3400"/>
    <w:rsid w:val="009F3475"/>
    <w:rsid w:val="009F481C"/>
    <w:rsid w:val="009F4D5E"/>
    <w:rsid w:val="009F4F49"/>
    <w:rsid w:val="009F5030"/>
    <w:rsid w:val="009F68EC"/>
    <w:rsid w:val="009F77C2"/>
    <w:rsid w:val="00A00214"/>
    <w:rsid w:val="00A003D2"/>
    <w:rsid w:val="00A0045F"/>
    <w:rsid w:val="00A007CA"/>
    <w:rsid w:val="00A00883"/>
    <w:rsid w:val="00A021CE"/>
    <w:rsid w:val="00A04566"/>
    <w:rsid w:val="00A058CD"/>
    <w:rsid w:val="00A05B18"/>
    <w:rsid w:val="00A06C73"/>
    <w:rsid w:val="00A0722A"/>
    <w:rsid w:val="00A1241D"/>
    <w:rsid w:val="00A12A35"/>
    <w:rsid w:val="00A12E13"/>
    <w:rsid w:val="00A142E4"/>
    <w:rsid w:val="00A14F30"/>
    <w:rsid w:val="00A15FC8"/>
    <w:rsid w:val="00A16C66"/>
    <w:rsid w:val="00A175EE"/>
    <w:rsid w:val="00A17A2F"/>
    <w:rsid w:val="00A2020F"/>
    <w:rsid w:val="00A21372"/>
    <w:rsid w:val="00A214A8"/>
    <w:rsid w:val="00A215B3"/>
    <w:rsid w:val="00A245D6"/>
    <w:rsid w:val="00A248F0"/>
    <w:rsid w:val="00A25033"/>
    <w:rsid w:val="00A26548"/>
    <w:rsid w:val="00A26FDE"/>
    <w:rsid w:val="00A3027C"/>
    <w:rsid w:val="00A303F7"/>
    <w:rsid w:val="00A314D2"/>
    <w:rsid w:val="00A31812"/>
    <w:rsid w:val="00A32340"/>
    <w:rsid w:val="00A3249D"/>
    <w:rsid w:val="00A324D2"/>
    <w:rsid w:val="00A33450"/>
    <w:rsid w:val="00A348B4"/>
    <w:rsid w:val="00A34F92"/>
    <w:rsid w:val="00A4066F"/>
    <w:rsid w:val="00A40FD3"/>
    <w:rsid w:val="00A42553"/>
    <w:rsid w:val="00A425A5"/>
    <w:rsid w:val="00A42879"/>
    <w:rsid w:val="00A42F74"/>
    <w:rsid w:val="00A44D2D"/>
    <w:rsid w:val="00A456F4"/>
    <w:rsid w:val="00A47410"/>
    <w:rsid w:val="00A535F4"/>
    <w:rsid w:val="00A541EB"/>
    <w:rsid w:val="00A56FB1"/>
    <w:rsid w:val="00A578FF"/>
    <w:rsid w:val="00A57952"/>
    <w:rsid w:val="00A60170"/>
    <w:rsid w:val="00A614B3"/>
    <w:rsid w:val="00A63179"/>
    <w:rsid w:val="00A63540"/>
    <w:rsid w:val="00A65937"/>
    <w:rsid w:val="00A65E25"/>
    <w:rsid w:val="00A671C6"/>
    <w:rsid w:val="00A67A97"/>
    <w:rsid w:val="00A7089B"/>
    <w:rsid w:val="00A70FE9"/>
    <w:rsid w:val="00A71789"/>
    <w:rsid w:val="00A7191E"/>
    <w:rsid w:val="00A7223E"/>
    <w:rsid w:val="00A72E34"/>
    <w:rsid w:val="00A73C31"/>
    <w:rsid w:val="00A76639"/>
    <w:rsid w:val="00A76FFC"/>
    <w:rsid w:val="00A77F29"/>
    <w:rsid w:val="00A803EF"/>
    <w:rsid w:val="00A8085C"/>
    <w:rsid w:val="00A80C47"/>
    <w:rsid w:val="00A81F66"/>
    <w:rsid w:val="00A82B41"/>
    <w:rsid w:val="00A835DA"/>
    <w:rsid w:val="00A848B1"/>
    <w:rsid w:val="00A8564D"/>
    <w:rsid w:val="00A873F1"/>
    <w:rsid w:val="00A8760A"/>
    <w:rsid w:val="00A914B3"/>
    <w:rsid w:val="00A925DD"/>
    <w:rsid w:val="00A9354D"/>
    <w:rsid w:val="00A93CF5"/>
    <w:rsid w:val="00A940BB"/>
    <w:rsid w:val="00A94D6A"/>
    <w:rsid w:val="00A9577C"/>
    <w:rsid w:val="00A9595D"/>
    <w:rsid w:val="00A9613A"/>
    <w:rsid w:val="00A96BCA"/>
    <w:rsid w:val="00A96C51"/>
    <w:rsid w:val="00A96CE7"/>
    <w:rsid w:val="00A97858"/>
    <w:rsid w:val="00A97ED5"/>
    <w:rsid w:val="00AA090C"/>
    <w:rsid w:val="00AA3563"/>
    <w:rsid w:val="00AA6450"/>
    <w:rsid w:val="00AA6A5E"/>
    <w:rsid w:val="00AB20DA"/>
    <w:rsid w:val="00AB33EE"/>
    <w:rsid w:val="00AB3568"/>
    <w:rsid w:val="00AB3BF4"/>
    <w:rsid w:val="00AB4362"/>
    <w:rsid w:val="00AB4AB3"/>
    <w:rsid w:val="00AB4FB2"/>
    <w:rsid w:val="00AB644D"/>
    <w:rsid w:val="00AB7286"/>
    <w:rsid w:val="00AC08F0"/>
    <w:rsid w:val="00AC1242"/>
    <w:rsid w:val="00AC19AD"/>
    <w:rsid w:val="00AC26A7"/>
    <w:rsid w:val="00AC4FBA"/>
    <w:rsid w:val="00AD0BF0"/>
    <w:rsid w:val="00AD1712"/>
    <w:rsid w:val="00AD2650"/>
    <w:rsid w:val="00AD2FAF"/>
    <w:rsid w:val="00AD3820"/>
    <w:rsid w:val="00AD6414"/>
    <w:rsid w:val="00AD7230"/>
    <w:rsid w:val="00AD742A"/>
    <w:rsid w:val="00AE16B3"/>
    <w:rsid w:val="00AE1921"/>
    <w:rsid w:val="00AE4ABA"/>
    <w:rsid w:val="00AE4DC3"/>
    <w:rsid w:val="00AE5F24"/>
    <w:rsid w:val="00AE6D85"/>
    <w:rsid w:val="00AF008D"/>
    <w:rsid w:val="00AF05DD"/>
    <w:rsid w:val="00AF060B"/>
    <w:rsid w:val="00AF0BD6"/>
    <w:rsid w:val="00AF0E3A"/>
    <w:rsid w:val="00AF4DE9"/>
    <w:rsid w:val="00AF6212"/>
    <w:rsid w:val="00AF6526"/>
    <w:rsid w:val="00AF6749"/>
    <w:rsid w:val="00AF78A9"/>
    <w:rsid w:val="00B00385"/>
    <w:rsid w:val="00B00AA0"/>
    <w:rsid w:val="00B01AE0"/>
    <w:rsid w:val="00B027A2"/>
    <w:rsid w:val="00B03249"/>
    <w:rsid w:val="00B04455"/>
    <w:rsid w:val="00B04512"/>
    <w:rsid w:val="00B04E2F"/>
    <w:rsid w:val="00B06A09"/>
    <w:rsid w:val="00B07213"/>
    <w:rsid w:val="00B07961"/>
    <w:rsid w:val="00B10E66"/>
    <w:rsid w:val="00B10F75"/>
    <w:rsid w:val="00B11A4B"/>
    <w:rsid w:val="00B11C88"/>
    <w:rsid w:val="00B132AD"/>
    <w:rsid w:val="00B134C1"/>
    <w:rsid w:val="00B134D8"/>
    <w:rsid w:val="00B13EB0"/>
    <w:rsid w:val="00B142C6"/>
    <w:rsid w:val="00B14FCB"/>
    <w:rsid w:val="00B15398"/>
    <w:rsid w:val="00B1582C"/>
    <w:rsid w:val="00B16017"/>
    <w:rsid w:val="00B161A5"/>
    <w:rsid w:val="00B17C35"/>
    <w:rsid w:val="00B17DEB"/>
    <w:rsid w:val="00B2072A"/>
    <w:rsid w:val="00B20C84"/>
    <w:rsid w:val="00B20CC5"/>
    <w:rsid w:val="00B21E98"/>
    <w:rsid w:val="00B22584"/>
    <w:rsid w:val="00B225B5"/>
    <w:rsid w:val="00B23198"/>
    <w:rsid w:val="00B243CF"/>
    <w:rsid w:val="00B24D6B"/>
    <w:rsid w:val="00B26829"/>
    <w:rsid w:val="00B26D70"/>
    <w:rsid w:val="00B27CBE"/>
    <w:rsid w:val="00B30307"/>
    <w:rsid w:val="00B30427"/>
    <w:rsid w:val="00B3045F"/>
    <w:rsid w:val="00B3274D"/>
    <w:rsid w:val="00B34D2F"/>
    <w:rsid w:val="00B3559A"/>
    <w:rsid w:val="00B3599B"/>
    <w:rsid w:val="00B41F25"/>
    <w:rsid w:val="00B4232F"/>
    <w:rsid w:val="00B433B3"/>
    <w:rsid w:val="00B43494"/>
    <w:rsid w:val="00B4486B"/>
    <w:rsid w:val="00B463D4"/>
    <w:rsid w:val="00B4717B"/>
    <w:rsid w:val="00B50D5C"/>
    <w:rsid w:val="00B52AC0"/>
    <w:rsid w:val="00B535D5"/>
    <w:rsid w:val="00B5392E"/>
    <w:rsid w:val="00B53BE6"/>
    <w:rsid w:val="00B53CC3"/>
    <w:rsid w:val="00B5627B"/>
    <w:rsid w:val="00B568A2"/>
    <w:rsid w:val="00B5732B"/>
    <w:rsid w:val="00B61826"/>
    <w:rsid w:val="00B61E97"/>
    <w:rsid w:val="00B62003"/>
    <w:rsid w:val="00B62E17"/>
    <w:rsid w:val="00B661A9"/>
    <w:rsid w:val="00B6620E"/>
    <w:rsid w:val="00B6628E"/>
    <w:rsid w:val="00B67D61"/>
    <w:rsid w:val="00B71469"/>
    <w:rsid w:val="00B735D6"/>
    <w:rsid w:val="00B73D29"/>
    <w:rsid w:val="00B74EBD"/>
    <w:rsid w:val="00B75934"/>
    <w:rsid w:val="00B75C27"/>
    <w:rsid w:val="00B760E1"/>
    <w:rsid w:val="00B762B3"/>
    <w:rsid w:val="00B76605"/>
    <w:rsid w:val="00B775B2"/>
    <w:rsid w:val="00B77B21"/>
    <w:rsid w:val="00B8016E"/>
    <w:rsid w:val="00B80E78"/>
    <w:rsid w:val="00B81DCE"/>
    <w:rsid w:val="00B8230A"/>
    <w:rsid w:val="00B82F36"/>
    <w:rsid w:val="00B83A28"/>
    <w:rsid w:val="00B84BD2"/>
    <w:rsid w:val="00B85058"/>
    <w:rsid w:val="00B85CA1"/>
    <w:rsid w:val="00B86097"/>
    <w:rsid w:val="00B8635E"/>
    <w:rsid w:val="00B87035"/>
    <w:rsid w:val="00B876A8"/>
    <w:rsid w:val="00B87E2D"/>
    <w:rsid w:val="00B90732"/>
    <w:rsid w:val="00B92013"/>
    <w:rsid w:val="00B93421"/>
    <w:rsid w:val="00B94070"/>
    <w:rsid w:val="00B96710"/>
    <w:rsid w:val="00B9694B"/>
    <w:rsid w:val="00B97717"/>
    <w:rsid w:val="00BA00B5"/>
    <w:rsid w:val="00BA036A"/>
    <w:rsid w:val="00BA1694"/>
    <w:rsid w:val="00BA3530"/>
    <w:rsid w:val="00BA3970"/>
    <w:rsid w:val="00BA3ABA"/>
    <w:rsid w:val="00BA4318"/>
    <w:rsid w:val="00BA4E5C"/>
    <w:rsid w:val="00BA5372"/>
    <w:rsid w:val="00BA6782"/>
    <w:rsid w:val="00BA6988"/>
    <w:rsid w:val="00BA6CC6"/>
    <w:rsid w:val="00BA6D54"/>
    <w:rsid w:val="00BA742C"/>
    <w:rsid w:val="00BA775C"/>
    <w:rsid w:val="00BA7C18"/>
    <w:rsid w:val="00BB109F"/>
    <w:rsid w:val="00BB1754"/>
    <w:rsid w:val="00BB1DD0"/>
    <w:rsid w:val="00BB2519"/>
    <w:rsid w:val="00BB327C"/>
    <w:rsid w:val="00BB45C7"/>
    <w:rsid w:val="00BB4799"/>
    <w:rsid w:val="00BB4832"/>
    <w:rsid w:val="00BB59D8"/>
    <w:rsid w:val="00BB5D47"/>
    <w:rsid w:val="00BB6771"/>
    <w:rsid w:val="00BB6D8B"/>
    <w:rsid w:val="00BB7995"/>
    <w:rsid w:val="00BB7E86"/>
    <w:rsid w:val="00BC009A"/>
    <w:rsid w:val="00BC011C"/>
    <w:rsid w:val="00BC0558"/>
    <w:rsid w:val="00BC0A5A"/>
    <w:rsid w:val="00BC1D56"/>
    <w:rsid w:val="00BC1D87"/>
    <w:rsid w:val="00BC2470"/>
    <w:rsid w:val="00BC2C35"/>
    <w:rsid w:val="00BC375E"/>
    <w:rsid w:val="00BC4DB6"/>
    <w:rsid w:val="00BC554D"/>
    <w:rsid w:val="00BC6700"/>
    <w:rsid w:val="00BC7523"/>
    <w:rsid w:val="00BD0195"/>
    <w:rsid w:val="00BD1041"/>
    <w:rsid w:val="00BD10F2"/>
    <w:rsid w:val="00BD166A"/>
    <w:rsid w:val="00BD17B0"/>
    <w:rsid w:val="00BD181D"/>
    <w:rsid w:val="00BD1D78"/>
    <w:rsid w:val="00BD20AE"/>
    <w:rsid w:val="00BD252F"/>
    <w:rsid w:val="00BD58C1"/>
    <w:rsid w:val="00BE0177"/>
    <w:rsid w:val="00BE1519"/>
    <w:rsid w:val="00BE1D3E"/>
    <w:rsid w:val="00BE215C"/>
    <w:rsid w:val="00BE232A"/>
    <w:rsid w:val="00BE3D2F"/>
    <w:rsid w:val="00BE483F"/>
    <w:rsid w:val="00BE5B4F"/>
    <w:rsid w:val="00BE5C71"/>
    <w:rsid w:val="00BE5DC1"/>
    <w:rsid w:val="00BE6344"/>
    <w:rsid w:val="00BE69D0"/>
    <w:rsid w:val="00BF0392"/>
    <w:rsid w:val="00BF0467"/>
    <w:rsid w:val="00BF0D4C"/>
    <w:rsid w:val="00BF11DD"/>
    <w:rsid w:val="00BF23BC"/>
    <w:rsid w:val="00BF29D3"/>
    <w:rsid w:val="00BF57A9"/>
    <w:rsid w:val="00BF607F"/>
    <w:rsid w:val="00BF6CB3"/>
    <w:rsid w:val="00BF6F65"/>
    <w:rsid w:val="00BF791D"/>
    <w:rsid w:val="00C00A33"/>
    <w:rsid w:val="00C00CB4"/>
    <w:rsid w:val="00C01617"/>
    <w:rsid w:val="00C06365"/>
    <w:rsid w:val="00C06A5B"/>
    <w:rsid w:val="00C06F7F"/>
    <w:rsid w:val="00C0707B"/>
    <w:rsid w:val="00C07240"/>
    <w:rsid w:val="00C1035F"/>
    <w:rsid w:val="00C109EB"/>
    <w:rsid w:val="00C10BC0"/>
    <w:rsid w:val="00C11774"/>
    <w:rsid w:val="00C12C32"/>
    <w:rsid w:val="00C13B90"/>
    <w:rsid w:val="00C1472D"/>
    <w:rsid w:val="00C16682"/>
    <w:rsid w:val="00C16E83"/>
    <w:rsid w:val="00C17493"/>
    <w:rsid w:val="00C200D5"/>
    <w:rsid w:val="00C20E34"/>
    <w:rsid w:val="00C215E0"/>
    <w:rsid w:val="00C22A5D"/>
    <w:rsid w:val="00C22F99"/>
    <w:rsid w:val="00C23E35"/>
    <w:rsid w:val="00C23F5E"/>
    <w:rsid w:val="00C24117"/>
    <w:rsid w:val="00C24DB2"/>
    <w:rsid w:val="00C26659"/>
    <w:rsid w:val="00C2684C"/>
    <w:rsid w:val="00C26DBF"/>
    <w:rsid w:val="00C27533"/>
    <w:rsid w:val="00C275DE"/>
    <w:rsid w:val="00C27C55"/>
    <w:rsid w:val="00C27CB8"/>
    <w:rsid w:val="00C30D1D"/>
    <w:rsid w:val="00C30EA7"/>
    <w:rsid w:val="00C31A78"/>
    <w:rsid w:val="00C325CE"/>
    <w:rsid w:val="00C336FF"/>
    <w:rsid w:val="00C33FA7"/>
    <w:rsid w:val="00C3484E"/>
    <w:rsid w:val="00C35342"/>
    <w:rsid w:val="00C35359"/>
    <w:rsid w:val="00C35681"/>
    <w:rsid w:val="00C35F0C"/>
    <w:rsid w:val="00C36260"/>
    <w:rsid w:val="00C3639F"/>
    <w:rsid w:val="00C363C1"/>
    <w:rsid w:val="00C37A72"/>
    <w:rsid w:val="00C41041"/>
    <w:rsid w:val="00C4288C"/>
    <w:rsid w:val="00C43E78"/>
    <w:rsid w:val="00C44534"/>
    <w:rsid w:val="00C44AFF"/>
    <w:rsid w:val="00C44D9B"/>
    <w:rsid w:val="00C45272"/>
    <w:rsid w:val="00C45609"/>
    <w:rsid w:val="00C45EC2"/>
    <w:rsid w:val="00C467DA"/>
    <w:rsid w:val="00C46DCD"/>
    <w:rsid w:val="00C50AAA"/>
    <w:rsid w:val="00C523DF"/>
    <w:rsid w:val="00C52A19"/>
    <w:rsid w:val="00C540EC"/>
    <w:rsid w:val="00C54366"/>
    <w:rsid w:val="00C544D1"/>
    <w:rsid w:val="00C5481F"/>
    <w:rsid w:val="00C54C7D"/>
    <w:rsid w:val="00C54DCD"/>
    <w:rsid w:val="00C556CB"/>
    <w:rsid w:val="00C567E5"/>
    <w:rsid w:val="00C57B21"/>
    <w:rsid w:val="00C61BED"/>
    <w:rsid w:val="00C62FCC"/>
    <w:rsid w:val="00C636E1"/>
    <w:rsid w:val="00C656C3"/>
    <w:rsid w:val="00C679E1"/>
    <w:rsid w:val="00C700BE"/>
    <w:rsid w:val="00C706FF"/>
    <w:rsid w:val="00C716A7"/>
    <w:rsid w:val="00C718A7"/>
    <w:rsid w:val="00C71CEE"/>
    <w:rsid w:val="00C725C2"/>
    <w:rsid w:val="00C73543"/>
    <w:rsid w:val="00C74394"/>
    <w:rsid w:val="00C75557"/>
    <w:rsid w:val="00C76AEE"/>
    <w:rsid w:val="00C776E6"/>
    <w:rsid w:val="00C77BBD"/>
    <w:rsid w:val="00C77FA8"/>
    <w:rsid w:val="00C802C2"/>
    <w:rsid w:val="00C809C4"/>
    <w:rsid w:val="00C80CC1"/>
    <w:rsid w:val="00C81596"/>
    <w:rsid w:val="00C820D4"/>
    <w:rsid w:val="00C82187"/>
    <w:rsid w:val="00C82381"/>
    <w:rsid w:val="00C8344A"/>
    <w:rsid w:val="00C83BCC"/>
    <w:rsid w:val="00C83C7A"/>
    <w:rsid w:val="00C84534"/>
    <w:rsid w:val="00C846E0"/>
    <w:rsid w:val="00C851C6"/>
    <w:rsid w:val="00C85331"/>
    <w:rsid w:val="00C85F31"/>
    <w:rsid w:val="00C85FCA"/>
    <w:rsid w:val="00C8619C"/>
    <w:rsid w:val="00C8681F"/>
    <w:rsid w:val="00C90FE4"/>
    <w:rsid w:val="00C91223"/>
    <w:rsid w:val="00C9190A"/>
    <w:rsid w:val="00C91DC9"/>
    <w:rsid w:val="00C93271"/>
    <w:rsid w:val="00C94B7A"/>
    <w:rsid w:val="00C94DA8"/>
    <w:rsid w:val="00C957B1"/>
    <w:rsid w:val="00C95A3F"/>
    <w:rsid w:val="00C95AB6"/>
    <w:rsid w:val="00CA24FD"/>
    <w:rsid w:val="00CA2937"/>
    <w:rsid w:val="00CA2C4B"/>
    <w:rsid w:val="00CA3871"/>
    <w:rsid w:val="00CA3E66"/>
    <w:rsid w:val="00CA446D"/>
    <w:rsid w:val="00CA4EE4"/>
    <w:rsid w:val="00CA51E2"/>
    <w:rsid w:val="00CA5EA2"/>
    <w:rsid w:val="00CA5FD3"/>
    <w:rsid w:val="00CA6B98"/>
    <w:rsid w:val="00CA7261"/>
    <w:rsid w:val="00CB0A9D"/>
    <w:rsid w:val="00CB1C9F"/>
    <w:rsid w:val="00CB2E84"/>
    <w:rsid w:val="00CB2F7E"/>
    <w:rsid w:val="00CB4366"/>
    <w:rsid w:val="00CB60D2"/>
    <w:rsid w:val="00CB6612"/>
    <w:rsid w:val="00CB6660"/>
    <w:rsid w:val="00CB71BF"/>
    <w:rsid w:val="00CB7B9E"/>
    <w:rsid w:val="00CB7D81"/>
    <w:rsid w:val="00CC2417"/>
    <w:rsid w:val="00CC2A6D"/>
    <w:rsid w:val="00CC3238"/>
    <w:rsid w:val="00CC372B"/>
    <w:rsid w:val="00CC385C"/>
    <w:rsid w:val="00CC410A"/>
    <w:rsid w:val="00CC4708"/>
    <w:rsid w:val="00CC48CC"/>
    <w:rsid w:val="00CC4ED8"/>
    <w:rsid w:val="00CC58AA"/>
    <w:rsid w:val="00CC5C22"/>
    <w:rsid w:val="00CC638B"/>
    <w:rsid w:val="00CC7A24"/>
    <w:rsid w:val="00CD0738"/>
    <w:rsid w:val="00CD0A98"/>
    <w:rsid w:val="00CD0F05"/>
    <w:rsid w:val="00CD1C60"/>
    <w:rsid w:val="00CD35BF"/>
    <w:rsid w:val="00CD3E33"/>
    <w:rsid w:val="00CD4C45"/>
    <w:rsid w:val="00CD5CEA"/>
    <w:rsid w:val="00CD60FF"/>
    <w:rsid w:val="00CD76A2"/>
    <w:rsid w:val="00CE0279"/>
    <w:rsid w:val="00CE09AE"/>
    <w:rsid w:val="00CE0DCF"/>
    <w:rsid w:val="00CE1C56"/>
    <w:rsid w:val="00CE213A"/>
    <w:rsid w:val="00CE2459"/>
    <w:rsid w:val="00CE2ABB"/>
    <w:rsid w:val="00CE335E"/>
    <w:rsid w:val="00CE33CC"/>
    <w:rsid w:val="00CE3B5F"/>
    <w:rsid w:val="00CE3E2D"/>
    <w:rsid w:val="00CE4024"/>
    <w:rsid w:val="00CE40A9"/>
    <w:rsid w:val="00CE4270"/>
    <w:rsid w:val="00CE55B3"/>
    <w:rsid w:val="00CE6CA8"/>
    <w:rsid w:val="00CE77E4"/>
    <w:rsid w:val="00CE7995"/>
    <w:rsid w:val="00CF00CB"/>
    <w:rsid w:val="00CF036D"/>
    <w:rsid w:val="00CF150E"/>
    <w:rsid w:val="00CF251B"/>
    <w:rsid w:val="00CF401B"/>
    <w:rsid w:val="00CF57B2"/>
    <w:rsid w:val="00CF6722"/>
    <w:rsid w:val="00CF6FCA"/>
    <w:rsid w:val="00D0031F"/>
    <w:rsid w:val="00D006AC"/>
    <w:rsid w:val="00D00EAD"/>
    <w:rsid w:val="00D01CB9"/>
    <w:rsid w:val="00D01D81"/>
    <w:rsid w:val="00D01DD4"/>
    <w:rsid w:val="00D02722"/>
    <w:rsid w:val="00D0473E"/>
    <w:rsid w:val="00D06E49"/>
    <w:rsid w:val="00D06F4D"/>
    <w:rsid w:val="00D0777B"/>
    <w:rsid w:val="00D07DEB"/>
    <w:rsid w:val="00D117D9"/>
    <w:rsid w:val="00D1192F"/>
    <w:rsid w:val="00D12E55"/>
    <w:rsid w:val="00D1360F"/>
    <w:rsid w:val="00D13E2A"/>
    <w:rsid w:val="00D149B5"/>
    <w:rsid w:val="00D14A85"/>
    <w:rsid w:val="00D157AF"/>
    <w:rsid w:val="00D16504"/>
    <w:rsid w:val="00D17761"/>
    <w:rsid w:val="00D20893"/>
    <w:rsid w:val="00D212A0"/>
    <w:rsid w:val="00D218BE"/>
    <w:rsid w:val="00D22B0B"/>
    <w:rsid w:val="00D234BD"/>
    <w:rsid w:val="00D24506"/>
    <w:rsid w:val="00D246C1"/>
    <w:rsid w:val="00D24E33"/>
    <w:rsid w:val="00D25185"/>
    <w:rsid w:val="00D25BE9"/>
    <w:rsid w:val="00D264A1"/>
    <w:rsid w:val="00D2780F"/>
    <w:rsid w:val="00D27DAE"/>
    <w:rsid w:val="00D30FB2"/>
    <w:rsid w:val="00D32BF0"/>
    <w:rsid w:val="00D33269"/>
    <w:rsid w:val="00D33B2C"/>
    <w:rsid w:val="00D34F57"/>
    <w:rsid w:val="00D3772A"/>
    <w:rsid w:val="00D40AD0"/>
    <w:rsid w:val="00D41379"/>
    <w:rsid w:val="00D418B3"/>
    <w:rsid w:val="00D41FE8"/>
    <w:rsid w:val="00D42391"/>
    <w:rsid w:val="00D42F76"/>
    <w:rsid w:val="00D456BE"/>
    <w:rsid w:val="00D4609D"/>
    <w:rsid w:val="00D4730F"/>
    <w:rsid w:val="00D5091E"/>
    <w:rsid w:val="00D51BA5"/>
    <w:rsid w:val="00D51CF5"/>
    <w:rsid w:val="00D51EA1"/>
    <w:rsid w:val="00D5345A"/>
    <w:rsid w:val="00D535AE"/>
    <w:rsid w:val="00D55729"/>
    <w:rsid w:val="00D573B3"/>
    <w:rsid w:val="00D5787E"/>
    <w:rsid w:val="00D60070"/>
    <w:rsid w:val="00D61899"/>
    <w:rsid w:val="00D61A84"/>
    <w:rsid w:val="00D635E8"/>
    <w:rsid w:val="00D63CED"/>
    <w:rsid w:val="00D6439D"/>
    <w:rsid w:val="00D64CCF"/>
    <w:rsid w:val="00D64DBE"/>
    <w:rsid w:val="00D65936"/>
    <w:rsid w:val="00D65C48"/>
    <w:rsid w:val="00D67079"/>
    <w:rsid w:val="00D67434"/>
    <w:rsid w:val="00D715A2"/>
    <w:rsid w:val="00D71DD6"/>
    <w:rsid w:val="00D75515"/>
    <w:rsid w:val="00D765AA"/>
    <w:rsid w:val="00D76A59"/>
    <w:rsid w:val="00D77A46"/>
    <w:rsid w:val="00D77F00"/>
    <w:rsid w:val="00D810A6"/>
    <w:rsid w:val="00D8213F"/>
    <w:rsid w:val="00D837AE"/>
    <w:rsid w:val="00D85AD1"/>
    <w:rsid w:val="00D901C1"/>
    <w:rsid w:val="00D9071C"/>
    <w:rsid w:val="00D90AC3"/>
    <w:rsid w:val="00D90B89"/>
    <w:rsid w:val="00D912A7"/>
    <w:rsid w:val="00D91437"/>
    <w:rsid w:val="00D916AF"/>
    <w:rsid w:val="00D92EF5"/>
    <w:rsid w:val="00D93A87"/>
    <w:rsid w:val="00D93C5F"/>
    <w:rsid w:val="00D95B81"/>
    <w:rsid w:val="00D9763A"/>
    <w:rsid w:val="00DA0D23"/>
    <w:rsid w:val="00DA0EE8"/>
    <w:rsid w:val="00DA2536"/>
    <w:rsid w:val="00DA3EFB"/>
    <w:rsid w:val="00DA4867"/>
    <w:rsid w:val="00DA553D"/>
    <w:rsid w:val="00DA5FFC"/>
    <w:rsid w:val="00DA6E26"/>
    <w:rsid w:val="00DA710B"/>
    <w:rsid w:val="00DA73CE"/>
    <w:rsid w:val="00DA7CC6"/>
    <w:rsid w:val="00DB05C9"/>
    <w:rsid w:val="00DB0F3E"/>
    <w:rsid w:val="00DB122B"/>
    <w:rsid w:val="00DB5D84"/>
    <w:rsid w:val="00DB5F67"/>
    <w:rsid w:val="00DB6348"/>
    <w:rsid w:val="00DB65FD"/>
    <w:rsid w:val="00DB67B2"/>
    <w:rsid w:val="00DB6C81"/>
    <w:rsid w:val="00DB7785"/>
    <w:rsid w:val="00DB7F4F"/>
    <w:rsid w:val="00DC0114"/>
    <w:rsid w:val="00DC26CC"/>
    <w:rsid w:val="00DC2BDF"/>
    <w:rsid w:val="00DC31ED"/>
    <w:rsid w:val="00DC348A"/>
    <w:rsid w:val="00DC3AD9"/>
    <w:rsid w:val="00DC4C02"/>
    <w:rsid w:val="00DC4FE7"/>
    <w:rsid w:val="00DC5871"/>
    <w:rsid w:val="00DC5B6E"/>
    <w:rsid w:val="00DC5F8E"/>
    <w:rsid w:val="00DC6648"/>
    <w:rsid w:val="00DD2D98"/>
    <w:rsid w:val="00DD3F13"/>
    <w:rsid w:val="00DD6398"/>
    <w:rsid w:val="00DD68BB"/>
    <w:rsid w:val="00DD6B3C"/>
    <w:rsid w:val="00DD7CAA"/>
    <w:rsid w:val="00DD7CB1"/>
    <w:rsid w:val="00DD7FDA"/>
    <w:rsid w:val="00DE0C2D"/>
    <w:rsid w:val="00DE1182"/>
    <w:rsid w:val="00DE1978"/>
    <w:rsid w:val="00DE2264"/>
    <w:rsid w:val="00DE35F3"/>
    <w:rsid w:val="00DE62D3"/>
    <w:rsid w:val="00DE7557"/>
    <w:rsid w:val="00DF14F0"/>
    <w:rsid w:val="00DF2D33"/>
    <w:rsid w:val="00DF3950"/>
    <w:rsid w:val="00DF3BDF"/>
    <w:rsid w:val="00DF4636"/>
    <w:rsid w:val="00DF5357"/>
    <w:rsid w:val="00DF5B6E"/>
    <w:rsid w:val="00DF667A"/>
    <w:rsid w:val="00DF73B8"/>
    <w:rsid w:val="00E0010F"/>
    <w:rsid w:val="00E002A3"/>
    <w:rsid w:val="00E0202A"/>
    <w:rsid w:val="00E02A53"/>
    <w:rsid w:val="00E035FC"/>
    <w:rsid w:val="00E037C8"/>
    <w:rsid w:val="00E04736"/>
    <w:rsid w:val="00E04E88"/>
    <w:rsid w:val="00E06E24"/>
    <w:rsid w:val="00E0728A"/>
    <w:rsid w:val="00E07A22"/>
    <w:rsid w:val="00E11FDA"/>
    <w:rsid w:val="00E122C0"/>
    <w:rsid w:val="00E12429"/>
    <w:rsid w:val="00E13025"/>
    <w:rsid w:val="00E130DE"/>
    <w:rsid w:val="00E13271"/>
    <w:rsid w:val="00E142D1"/>
    <w:rsid w:val="00E15BDF"/>
    <w:rsid w:val="00E16313"/>
    <w:rsid w:val="00E20243"/>
    <w:rsid w:val="00E20987"/>
    <w:rsid w:val="00E20B6B"/>
    <w:rsid w:val="00E218D6"/>
    <w:rsid w:val="00E22422"/>
    <w:rsid w:val="00E22C2E"/>
    <w:rsid w:val="00E24CCC"/>
    <w:rsid w:val="00E267ED"/>
    <w:rsid w:val="00E272C7"/>
    <w:rsid w:val="00E31D0B"/>
    <w:rsid w:val="00E324ED"/>
    <w:rsid w:val="00E32BBD"/>
    <w:rsid w:val="00E32D60"/>
    <w:rsid w:val="00E340CA"/>
    <w:rsid w:val="00E343A4"/>
    <w:rsid w:val="00E343C6"/>
    <w:rsid w:val="00E365A6"/>
    <w:rsid w:val="00E365F1"/>
    <w:rsid w:val="00E36E7F"/>
    <w:rsid w:val="00E37606"/>
    <w:rsid w:val="00E4083B"/>
    <w:rsid w:val="00E408D1"/>
    <w:rsid w:val="00E43543"/>
    <w:rsid w:val="00E43839"/>
    <w:rsid w:val="00E45085"/>
    <w:rsid w:val="00E46066"/>
    <w:rsid w:val="00E501CD"/>
    <w:rsid w:val="00E50388"/>
    <w:rsid w:val="00E50ABA"/>
    <w:rsid w:val="00E51644"/>
    <w:rsid w:val="00E51964"/>
    <w:rsid w:val="00E52B53"/>
    <w:rsid w:val="00E53057"/>
    <w:rsid w:val="00E5319B"/>
    <w:rsid w:val="00E533C6"/>
    <w:rsid w:val="00E5422C"/>
    <w:rsid w:val="00E544EA"/>
    <w:rsid w:val="00E54DBE"/>
    <w:rsid w:val="00E551DA"/>
    <w:rsid w:val="00E55F75"/>
    <w:rsid w:val="00E6031E"/>
    <w:rsid w:val="00E62092"/>
    <w:rsid w:val="00E6238E"/>
    <w:rsid w:val="00E6292D"/>
    <w:rsid w:val="00E641FC"/>
    <w:rsid w:val="00E651FC"/>
    <w:rsid w:val="00E66063"/>
    <w:rsid w:val="00E66B27"/>
    <w:rsid w:val="00E66BB1"/>
    <w:rsid w:val="00E71978"/>
    <w:rsid w:val="00E73966"/>
    <w:rsid w:val="00E740B4"/>
    <w:rsid w:val="00E7457A"/>
    <w:rsid w:val="00E74FB3"/>
    <w:rsid w:val="00E757C3"/>
    <w:rsid w:val="00E75F0B"/>
    <w:rsid w:val="00E76ACA"/>
    <w:rsid w:val="00E77955"/>
    <w:rsid w:val="00E8103F"/>
    <w:rsid w:val="00E81E88"/>
    <w:rsid w:val="00E82E06"/>
    <w:rsid w:val="00E84907"/>
    <w:rsid w:val="00E879EB"/>
    <w:rsid w:val="00E90850"/>
    <w:rsid w:val="00E90CCD"/>
    <w:rsid w:val="00E94E70"/>
    <w:rsid w:val="00E94EE0"/>
    <w:rsid w:val="00E9524D"/>
    <w:rsid w:val="00EA0B54"/>
    <w:rsid w:val="00EA14AD"/>
    <w:rsid w:val="00EA1AAE"/>
    <w:rsid w:val="00EA21EF"/>
    <w:rsid w:val="00EA2493"/>
    <w:rsid w:val="00EA2A71"/>
    <w:rsid w:val="00EA34AA"/>
    <w:rsid w:val="00EA37D1"/>
    <w:rsid w:val="00EA5F15"/>
    <w:rsid w:val="00EA6F59"/>
    <w:rsid w:val="00EB000A"/>
    <w:rsid w:val="00EB016D"/>
    <w:rsid w:val="00EB167B"/>
    <w:rsid w:val="00EB17EC"/>
    <w:rsid w:val="00EB2044"/>
    <w:rsid w:val="00EB2BB2"/>
    <w:rsid w:val="00EB2BF9"/>
    <w:rsid w:val="00EB34A2"/>
    <w:rsid w:val="00EB4D7F"/>
    <w:rsid w:val="00EB541B"/>
    <w:rsid w:val="00EB5C92"/>
    <w:rsid w:val="00EB5FA7"/>
    <w:rsid w:val="00EB6A63"/>
    <w:rsid w:val="00EB6E3E"/>
    <w:rsid w:val="00EB74E4"/>
    <w:rsid w:val="00EC0C04"/>
    <w:rsid w:val="00EC123C"/>
    <w:rsid w:val="00EC2051"/>
    <w:rsid w:val="00EC250C"/>
    <w:rsid w:val="00EC2F18"/>
    <w:rsid w:val="00EC308B"/>
    <w:rsid w:val="00EC6E88"/>
    <w:rsid w:val="00EC73A1"/>
    <w:rsid w:val="00ED0B45"/>
    <w:rsid w:val="00ED27E3"/>
    <w:rsid w:val="00ED7F49"/>
    <w:rsid w:val="00ED7FE7"/>
    <w:rsid w:val="00EE003C"/>
    <w:rsid w:val="00EE0B56"/>
    <w:rsid w:val="00EE0F99"/>
    <w:rsid w:val="00EE2020"/>
    <w:rsid w:val="00EE4F0F"/>
    <w:rsid w:val="00EE50AB"/>
    <w:rsid w:val="00EE5C48"/>
    <w:rsid w:val="00EE61BB"/>
    <w:rsid w:val="00EE74CC"/>
    <w:rsid w:val="00EF07C1"/>
    <w:rsid w:val="00EF0EA9"/>
    <w:rsid w:val="00EF27A7"/>
    <w:rsid w:val="00EF31DB"/>
    <w:rsid w:val="00EF3F53"/>
    <w:rsid w:val="00EF415D"/>
    <w:rsid w:val="00EF47EA"/>
    <w:rsid w:val="00EF4DFC"/>
    <w:rsid w:val="00EF4EDA"/>
    <w:rsid w:val="00EF55B1"/>
    <w:rsid w:val="00EF6DF6"/>
    <w:rsid w:val="00EF7835"/>
    <w:rsid w:val="00F00288"/>
    <w:rsid w:val="00F0094F"/>
    <w:rsid w:val="00F00CA3"/>
    <w:rsid w:val="00F02736"/>
    <w:rsid w:val="00F0418C"/>
    <w:rsid w:val="00F042A9"/>
    <w:rsid w:val="00F043F7"/>
    <w:rsid w:val="00F04FF4"/>
    <w:rsid w:val="00F10499"/>
    <w:rsid w:val="00F1054C"/>
    <w:rsid w:val="00F109E5"/>
    <w:rsid w:val="00F11745"/>
    <w:rsid w:val="00F11A01"/>
    <w:rsid w:val="00F1257F"/>
    <w:rsid w:val="00F12A91"/>
    <w:rsid w:val="00F12F10"/>
    <w:rsid w:val="00F135BC"/>
    <w:rsid w:val="00F13EDE"/>
    <w:rsid w:val="00F14345"/>
    <w:rsid w:val="00F146D0"/>
    <w:rsid w:val="00F14E09"/>
    <w:rsid w:val="00F15412"/>
    <w:rsid w:val="00F20974"/>
    <w:rsid w:val="00F20988"/>
    <w:rsid w:val="00F212A4"/>
    <w:rsid w:val="00F216A6"/>
    <w:rsid w:val="00F218AE"/>
    <w:rsid w:val="00F23772"/>
    <w:rsid w:val="00F23978"/>
    <w:rsid w:val="00F23F09"/>
    <w:rsid w:val="00F23F97"/>
    <w:rsid w:val="00F24670"/>
    <w:rsid w:val="00F26CFA"/>
    <w:rsid w:val="00F27190"/>
    <w:rsid w:val="00F275A9"/>
    <w:rsid w:val="00F3097B"/>
    <w:rsid w:val="00F32504"/>
    <w:rsid w:val="00F32C0C"/>
    <w:rsid w:val="00F33193"/>
    <w:rsid w:val="00F33D3B"/>
    <w:rsid w:val="00F35A94"/>
    <w:rsid w:val="00F35CB5"/>
    <w:rsid w:val="00F361B1"/>
    <w:rsid w:val="00F36486"/>
    <w:rsid w:val="00F37362"/>
    <w:rsid w:val="00F3760C"/>
    <w:rsid w:val="00F37862"/>
    <w:rsid w:val="00F40B54"/>
    <w:rsid w:val="00F41852"/>
    <w:rsid w:val="00F41A57"/>
    <w:rsid w:val="00F41C45"/>
    <w:rsid w:val="00F42B42"/>
    <w:rsid w:val="00F42C4B"/>
    <w:rsid w:val="00F42E9C"/>
    <w:rsid w:val="00F4321E"/>
    <w:rsid w:val="00F43AA9"/>
    <w:rsid w:val="00F44313"/>
    <w:rsid w:val="00F446B4"/>
    <w:rsid w:val="00F46EB7"/>
    <w:rsid w:val="00F47E7A"/>
    <w:rsid w:val="00F502A1"/>
    <w:rsid w:val="00F50CDB"/>
    <w:rsid w:val="00F51DB4"/>
    <w:rsid w:val="00F523E7"/>
    <w:rsid w:val="00F5326C"/>
    <w:rsid w:val="00F532BE"/>
    <w:rsid w:val="00F53A09"/>
    <w:rsid w:val="00F55FF6"/>
    <w:rsid w:val="00F564BD"/>
    <w:rsid w:val="00F57A8D"/>
    <w:rsid w:val="00F601F3"/>
    <w:rsid w:val="00F6049D"/>
    <w:rsid w:val="00F610CE"/>
    <w:rsid w:val="00F61411"/>
    <w:rsid w:val="00F61A67"/>
    <w:rsid w:val="00F6291E"/>
    <w:rsid w:val="00F64245"/>
    <w:rsid w:val="00F64E2D"/>
    <w:rsid w:val="00F676D9"/>
    <w:rsid w:val="00F70980"/>
    <w:rsid w:val="00F71CB0"/>
    <w:rsid w:val="00F727FE"/>
    <w:rsid w:val="00F72CAD"/>
    <w:rsid w:val="00F73C92"/>
    <w:rsid w:val="00F7560E"/>
    <w:rsid w:val="00F758F8"/>
    <w:rsid w:val="00F76BD8"/>
    <w:rsid w:val="00F76F88"/>
    <w:rsid w:val="00F7747F"/>
    <w:rsid w:val="00F81016"/>
    <w:rsid w:val="00F81DB7"/>
    <w:rsid w:val="00F82D9B"/>
    <w:rsid w:val="00F82FAA"/>
    <w:rsid w:val="00F84182"/>
    <w:rsid w:val="00F8511F"/>
    <w:rsid w:val="00F86281"/>
    <w:rsid w:val="00F86D25"/>
    <w:rsid w:val="00F8715C"/>
    <w:rsid w:val="00F87273"/>
    <w:rsid w:val="00F9100E"/>
    <w:rsid w:val="00F910C1"/>
    <w:rsid w:val="00F91774"/>
    <w:rsid w:val="00F92423"/>
    <w:rsid w:val="00F973A4"/>
    <w:rsid w:val="00FA26C8"/>
    <w:rsid w:val="00FA27C7"/>
    <w:rsid w:val="00FA2EBD"/>
    <w:rsid w:val="00FA367D"/>
    <w:rsid w:val="00FA3C93"/>
    <w:rsid w:val="00FA471E"/>
    <w:rsid w:val="00FA47BB"/>
    <w:rsid w:val="00FA492B"/>
    <w:rsid w:val="00FA4C8A"/>
    <w:rsid w:val="00FA5AE6"/>
    <w:rsid w:val="00FA5DB9"/>
    <w:rsid w:val="00FA6994"/>
    <w:rsid w:val="00FA727F"/>
    <w:rsid w:val="00FA7429"/>
    <w:rsid w:val="00FB1B17"/>
    <w:rsid w:val="00FB3098"/>
    <w:rsid w:val="00FB39B6"/>
    <w:rsid w:val="00FB445F"/>
    <w:rsid w:val="00FB66B4"/>
    <w:rsid w:val="00FB7056"/>
    <w:rsid w:val="00FC0645"/>
    <w:rsid w:val="00FC0B6C"/>
    <w:rsid w:val="00FC2F5C"/>
    <w:rsid w:val="00FC3D7B"/>
    <w:rsid w:val="00FC3EA0"/>
    <w:rsid w:val="00FC437E"/>
    <w:rsid w:val="00FC5874"/>
    <w:rsid w:val="00FC58B7"/>
    <w:rsid w:val="00FC632E"/>
    <w:rsid w:val="00FC67D0"/>
    <w:rsid w:val="00FC7486"/>
    <w:rsid w:val="00FC7FD5"/>
    <w:rsid w:val="00FD0284"/>
    <w:rsid w:val="00FD0702"/>
    <w:rsid w:val="00FD14BE"/>
    <w:rsid w:val="00FD1585"/>
    <w:rsid w:val="00FD1C31"/>
    <w:rsid w:val="00FD21F9"/>
    <w:rsid w:val="00FD27ED"/>
    <w:rsid w:val="00FD3213"/>
    <w:rsid w:val="00FD3D37"/>
    <w:rsid w:val="00FD3F15"/>
    <w:rsid w:val="00FD43CB"/>
    <w:rsid w:val="00FD453F"/>
    <w:rsid w:val="00FD556A"/>
    <w:rsid w:val="00FD58E0"/>
    <w:rsid w:val="00FD5DCE"/>
    <w:rsid w:val="00FD6E68"/>
    <w:rsid w:val="00FD731D"/>
    <w:rsid w:val="00FD7482"/>
    <w:rsid w:val="00FD7514"/>
    <w:rsid w:val="00FD7B43"/>
    <w:rsid w:val="00FD7C5F"/>
    <w:rsid w:val="00FE1FD8"/>
    <w:rsid w:val="00FE2B01"/>
    <w:rsid w:val="00FE2CB6"/>
    <w:rsid w:val="00FE3357"/>
    <w:rsid w:val="00FE3C1C"/>
    <w:rsid w:val="00FE4A91"/>
    <w:rsid w:val="00FE4E73"/>
    <w:rsid w:val="00FE5AD8"/>
    <w:rsid w:val="00FE5EDB"/>
    <w:rsid w:val="00FE6659"/>
    <w:rsid w:val="00FE6D6E"/>
    <w:rsid w:val="00FE74E7"/>
    <w:rsid w:val="00FE7F35"/>
    <w:rsid w:val="00FE7FEC"/>
    <w:rsid w:val="00FF28B4"/>
    <w:rsid w:val="00FF617C"/>
    <w:rsid w:val="00FF7EE8"/>
    <w:rsid w:val="01101CD1"/>
    <w:rsid w:val="01481C95"/>
    <w:rsid w:val="014C46A2"/>
    <w:rsid w:val="01695994"/>
    <w:rsid w:val="01890843"/>
    <w:rsid w:val="01A725BC"/>
    <w:rsid w:val="01AC5DE1"/>
    <w:rsid w:val="01D42CFA"/>
    <w:rsid w:val="01DB5CD3"/>
    <w:rsid w:val="01F92DD6"/>
    <w:rsid w:val="01FC0B3E"/>
    <w:rsid w:val="020D277D"/>
    <w:rsid w:val="0213169B"/>
    <w:rsid w:val="021A3B68"/>
    <w:rsid w:val="021F54BE"/>
    <w:rsid w:val="023777FE"/>
    <w:rsid w:val="023F31E2"/>
    <w:rsid w:val="024D5E1B"/>
    <w:rsid w:val="024E1EED"/>
    <w:rsid w:val="027C4BD0"/>
    <w:rsid w:val="028B0F28"/>
    <w:rsid w:val="02A853B4"/>
    <w:rsid w:val="02B41B03"/>
    <w:rsid w:val="02D478E7"/>
    <w:rsid w:val="02DF29DC"/>
    <w:rsid w:val="02E92FCD"/>
    <w:rsid w:val="02ED7E74"/>
    <w:rsid w:val="032967EC"/>
    <w:rsid w:val="03332415"/>
    <w:rsid w:val="03345042"/>
    <w:rsid w:val="034B63D9"/>
    <w:rsid w:val="035C70D0"/>
    <w:rsid w:val="03903328"/>
    <w:rsid w:val="03950C39"/>
    <w:rsid w:val="03B228F6"/>
    <w:rsid w:val="03C11C47"/>
    <w:rsid w:val="03C22919"/>
    <w:rsid w:val="03C53C14"/>
    <w:rsid w:val="03D16EF7"/>
    <w:rsid w:val="03D547C0"/>
    <w:rsid w:val="03F80A8D"/>
    <w:rsid w:val="040B3A9E"/>
    <w:rsid w:val="04134D24"/>
    <w:rsid w:val="043A7189"/>
    <w:rsid w:val="04416F15"/>
    <w:rsid w:val="044B2D10"/>
    <w:rsid w:val="04567D88"/>
    <w:rsid w:val="046441CE"/>
    <w:rsid w:val="04820800"/>
    <w:rsid w:val="049B30F3"/>
    <w:rsid w:val="04C46FFD"/>
    <w:rsid w:val="04E91219"/>
    <w:rsid w:val="053C390A"/>
    <w:rsid w:val="05431157"/>
    <w:rsid w:val="054317E1"/>
    <w:rsid w:val="05524DE7"/>
    <w:rsid w:val="055B6BBF"/>
    <w:rsid w:val="059307DA"/>
    <w:rsid w:val="059B7ABA"/>
    <w:rsid w:val="059E4162"/>
    <w:rsid w:val="05E60A96"/>
    <w:rsid w:val="06036220"/>
    <w:rsid w:val="062C2128"/>
    <w:rsid w:val="062E62B7"/>
    <w:rsid w:val="0635179A"/>
    <w:rsid w:val="064C01AD"/>
    <w:rsid w:val="064F3E4E"/>
    <w:rsid w:val="065E148D"/>
    <w:rsid w:val="066A2097"/>
    <w:rsid w:val="06915C3A"/>
    <w:rsid w:val="06A378A5"/>
    <w:rsid w:val="06A6072F"/>
    <w:rsid w:val="06BF2131"/>
    <w:rsid w:val="06C01E56"/>
    <w:rsid w:val="06E42437"/>
    <w:rsid w:val="06FD3FD2"/>
    <w:rsid w:val="07012AFF"/>
    <w:rsid w:val="070A252A"/>
    <w:rsid w:val="071A2D5A"/>
    <w:rsid w:val="072F2978"/>
    <w:rsid w:val="074A0F6A"/>
    <w:rsid w:val="075A487D"/>
    <w:rsid w:val="075D6E48"/>
    <w:rsid w:val="083E47B5"/>
    <w:rsid w:val="08563C62"/>
    <w:rsid w:val="08606A8C"/>
    <w:rsid w:val="086B58D7"/>
    <w:rsid w:val="086E77D2"/>
    <w:rsid w:val="087A57F5"/>
    <w:rsid w:val="087B36AD"/>
    <w:rsid w:val="0898267C"/>
    <w:rsid w:val="08AC35DD"/>
    <w:rsid w:val="08B07557"/>
    <w:rsid w:val="08EE0C29"/>
    <w:rsid w:val="090B25A1"/>
    <w:rsid w:val="090C32FC"/>
    <w:rsid w:val="09165329"/>
    <w:rsid w:val="0921794D"/>
    <w:rsid w:val="092E5FC1"/>
    <w:rsid w:val="0953223A"/>
    <w:rsid w:val="09567407"/>
    <w:rsid w:val="095B2818"/>
    <w:rsid w:val="096052E0"/>
    <w:rsid w:val="097B2674"/>
    <w:rsid w:val="099B7F90"/>
    <w:rsid w:val="099F010E"/>
    <w:rsid w:val="099F296F"/>
    <w:rsid w:val="0A2F0E6B"/>
    <w:rsid w:val="0A3E566F"/>
    <w:rsid w:val="0A6241F9"/>
    <w:rsid w:val="0A7871ED"/>
    <w:rsid w:val="0A7C4BA8"/>
    <w:rsid w:val="0A9C6914"/>
    <w:rsid w:val="0AAF6520"/>
    <w:rsid w:val="0AC779AE"/>
    <w:rsid w:val="0ACE12B1"/>
    <w:rsid w:val="0B013426"/>
    <w:rsid w:val="0B032FA4"/>
    <w:rsid w:val="0B7443AA"/>
    <w:rsid w:val="0B8E0D2A"/>
    <w:rsid w:val="0BAA1100"/>
    <w:rsid w:val="0BBE0EFD"/>
    <w:rsid w:val="0BCE7520"/>
    <w:rsid w:val="0BD55B14"/>
    <w:rsid w:val="0C045E72"/>
    <w:rsid w:val="0C0D6743"/>
    <w:rsid w:val="0C2B1244"/>
    <w:rsid w:val="0C2F17FE"/>
    <w:rsid w:val="0C4A716A"/>
    <w:rsid w:val="0C685087"/>
    <w:rsid w:val="0C756C97"/>
    <w:rsid w:val="0C791446"/>
    <w:rsid w:val="0CA540DE"/>
    <w:rsid w:val="0CB53A4F"/>
    <w:rsid w:val="0CC442E9"/>
    <w:rsid w:val="0CD2699B"/>
    <w:rsid w:val="0CE6072D"/>
    <w:rsid w:val="0CEB443C"/>
    <w:rsid w:val="0CF756AD"/>
    <w:rsid w:val="0CFB5A24"/>
    <w:rsid w:val="0CFC388C"/>
    <w:rsid w:val="0D0526D9"/>
    <w:rsid w:val="0D241A03"/>
    <w:rsid w:val="0D247ACB"/>
    <w:rsid w:val="0D3358FE"/>
    <w:rsid w:val="0D522538"/>
    <w:rsid w:val="0D7E4B54"/>
    <w:rsid w:val="0D890E41"/>
    <w:rsid w:val="0DE208B2"/>
    <w:rsid w:val="0E130442"/>
    <w:rsid w:val="0E376A36"/>
    <w:rsid w:val="0E4C5624"/>
    <w:rsid w:val="0E6779C0"/>
    <w:rsid w:val="0E9C547A"/>
    <w:rsid w:val="0E9D2827"/>
    <w:rsid w:val="0E9F72FC"/>
    <w:rsid w:val="0EA034BA"/>
    <w:rsid w:val="0EA63AFF"/>
    <w:rsid w:val="0EE70FEB"/>
    <w:rsid w:val="0F051798"/>
    <w:rsid w:val="0F131238"/>
    <w:rsid w:val="0F2614A2"/>
    <w:rsid w:val="0F4F68A6"/>
    <w:rsid w:val="0F7A59DB"/>
    <w:rsid w:val="0FAE5ADA"/>
    <w:rsid w:val="0FC6131A"/>
    <w:rsid w:val="0FC915BD"/>
    <w:rsid w:val="0FDD65B3"/>
    <w:rsid w:val="0FFD053E"/>
    <w:rsid w:val="0FFF7548"/>
    <w:rsid w:val="101E5CCD"/>
    <w:rsid w:val="103A67EC"/>
    <w:rsid w:val="10881EF7"/>
    <w:rsid w:val="10BD19E2"/>
    <w:rsid w:val="10C7472A"/>
    <w:rsid w:val="111C6D18"/>
    <w:rsid w:val="112358E6"/>
    <w:rsid w:val="11315565"/>
    <w:rsid w:val="11444030"/>
    <w:rsid w:val="11643857"/>
    <w:rsid w:val="117C1EDB"/>
    <w:rsid w:val="119E4CA7"/>
    <w:rsid w:val="11A01A7D"/>
    <w:rsid w:val="11B93A3A"/>
    <w:rsid w:val="120062E6"/>
    <w:rsid w:val="120E3697"/>
    <w:rsid w:val="120F284B"/>
    <w:rsid w:val="12314141"/>
    <w:rsid w:val="123C5B74"/>
    <w:rsid w:val="125D4C74"/>
    <w:rsid w:val="12657148"/>
    <w:rsid w:val="126C2126"/>
    <w:rsid w:val="12753032"/>
    <w:rsid w:val="128A32E5"/>
    <w:rsid w:val="129C190F"/>
    <w:rsid w:val="12D7622F"/>
    <w:rsid w:val="12EF4128"/>
    <w:rsid w:val="12F01C61"/>
    <w:rsid w:val="12F3478D"/>
    <w:rsid w:val="1300184F"/>
    <w:rsid w:val="1303707B"/>
    <w:rsid w:val="13057B1F"/>
    <w:rsid w:val="130A3FE1"/>
    <w:rsid w:val="13221045"/>
    <w:rsid w:val="13232FA5"/>
    <w:rsid w:val="132C7E7F"/>
    <w:rsid w:val="13343907"/>
    <w:rsid w:val="13452A73"/>
    <w:rsid w:val="13465318"/>
    <w:rsid w:val="136016BB"/>
    <w:rsid w:val="13835C73"/>
    <w:rsid w:val="13921EE1"/>
    <w:rsid w:val="13AE4F29"/>
    <w:rsid w:val="13D40360"/>
    <w:rsid w:val="13E6345F"/>
    <w:rsid w:val="13ED12D7"/>
    <w:rsid w:val="140629E8"/>
    <w:rsid w:val="141067E7"/>
    <w:rsid w:val="142F3E0B"/>
    <w:rsid w:val="143229B9"/>
    <w:rsid w:val="143F6A01"/>
    <w:rsid w:val="14551753"/>
    <w:rsid w:val="14802250"/>
    <w:rsid w:val="14B77158"/>
    <w:rsid w:val="14BF6932"/>
    <w:rsid w:val="14D06822"/>
    <w:rsid w:val="14FB1F3B"/>
    <w:rsid w:val="15084519"/>
    <w:rsid w:val="15305E97"/>
    <w:rsid w:val="154D2658"/>
    <w:rsid w:val="15706D62"/>
    <w:rsid w:val="158A506D"/>
    <w:rsid w:val="1590755A"/>
    <w:rsid w:val="159F0ABF"/>
    <w:rsid w:val="15A6726A"/>
    <w:rsid w:val="15AE0676"/>
    <w:rsid w:val="16184718"/>
    <w:rsid w:val="161D1E65"/>
    <w:rsid w:val="161F4F55"/>
    <w:rsid w:val="1652260A"/>
    <w:rsid w:val="16671B4E"/>
    <w:rsid w:val="16725C49"/>
    <w:rsid w:val="16A05C22"/>
    <w:rsid w:val="16B75633"/>
    <w:rsid w:val="16C218DF"/>
    <w:rsid w:val="16E275D9"/>
    <w:rsid w:val="16E77D86"/>
    <w:rsid w:val="16F1654B"/>
    <w:rsid w:val="17142026"/>
    <w:rsid w:val="17215CD4"/>
    <w:rsid w:val="17272887"/>
    <w:rsid w:val="174302DA"/>
    <w:rsid w:val="175B51BE"/>
    <w:rsid w:val="176F7024"/>
    <w:rsid w:val="177447A5"/>
    <w:rsid w:val="17AF4AAB"/>
    <w:rsid w:val="17D677C8"/>
    <w:rsid w:val="17F01507"/>
    <w:rsid w:val="17F6525A"/>
    <w:rsid w:val="180A528C"/>
    <w:rsid w:val="1853447C"/>
    <w:rsid w:val="185E162D"/>
    <w:rsid w:val="187F30CF"/>
    <w:rsid w:val="18BA08E3"/>
    <w:rsid w:val="1906168C"/>
    <w:rsid w:val="19215794"/>
    <w:rsid w:val="1927183A"/>
    <w:rsid w:val="193767C4"/>
    <w:rsid w:val="194664A1"/>
    <w:rsid w:val="19501A0F"/>
    <w:rsid w:val="19596D97"/>
    <w:rsid w:val="19A043EA"/>
    <w:rsid w:val="19BB415A"/>
    <w:rsid w:val="19C16064"/>
    <w:rsid w:val="19D40527"/>
    <w:rsid w:val="1A200612"/>
    <w:rsid w:val="1A532B29"/>
    <w:rsid w:val="1A7E5558"/>
    <w:rsid w:val="1A823855"/>
    <w:rsid w:val="1A83741C"/>
    <w:rsid w:val="1AA3095F"/>
    <w:rsid w:val="1AAD411D"/>
    <w:rsid w:val="1ADA53F5"/>
    <w:rsid w:val="1AEE38BF"/>
    <w:rsid w:val="1B010F3C"/>
    <w:rsid w:val="1B3D336F"/>
    <w:rsid w:val="1B3D52EE"/>
    <w:rsid w:val="1B4C4543"/>
    <w:rsid w:val="1B56639F"/>
    <w:rsid w:val="1BA77CE7"/>
    <w:rsid w:val="1BBC73D2"/>
    <w:rsid w:val="1BDA5034"/>
    <w:rsid w:val="1BE172C5"/>
    <w:rsid w:val="1BEC5E48"/>
    <w:rsid w:val="1C092770"/>
    <w:rsid w:val="1C181E1F"/>
    <w:rsid w:val="1C4265B8"/>
    <w:rsid w:val="1C4D1F5E"/>
    <w:rsid w:val="1C7E1B5D"/>
    <w:rsid w:val="1C912A7E"/>
    <w:rsid w:val="1CBE4E78"/>
    <w:rsid w:val="1CC96E2F"/>
    <w:rsid w:val="1CD06E17"/>
    <w:rsid w:val="1CDF1706"/>
    <w:rsid w:val="1CF31842"/>
    <w:rsid w:val="1CFC7AA3"/>
    <w:rsid w:val="1D057D3A"/>
    <w:rsid w:val="1DBB1037"/>
    <w:rsid w:val="1E121D13"/>
    <w:rsid w:val="1E236B28"/>
    <w:rsid w:val="1E2C70CA"/>
    <w:rsid w:val="1E4C5218"/>
    <w:rsid w:val="1E502772"/>
    <w:rsid w:val="1E5143A9"/>
    <w:rsid w:val="1E5E495B"/>
    <w:rsid w:val="1E801598"/>
    <w:rsid w:val="1F01712D"/>
    <w:rsid w:val="1F3875DC"/>
    <w:rsid w:val="1F4A27FA"/>
    <w:rsid w:val="1F554A8C"/>
    <w:rsid w:val="1F5B0D49"/>
    <w:rsid w:val="1F7548A0"/>
    <w:rsid w:val="1F9C5CE7"/>
    <w:rsid w:val="1FBB55D4"/>
    <w:rsid w:val="1FC84E85"/>
    <w:rsid w:val="1FF86BC7"/>
    <w:rsid w:val="204E0D8F"/>
    <w:rsid w:val="208E0A9F"/>
    <w:rsid w:val="20B301BB"/>
    <w:rsid w:val="20DD6FBD"/>
    <w:rsid w:val="21064392"/>
    <w:rsid w:val="211F0B15"/>
    <w:rsid w:val="212D2BF0"/>
    <w:rsid w:val="21464238"/>
    <w:rsid w:val="216F1A4C"/>
    <w:rsid w:val="21A07DB6"/>
    <w:rsid w:val="21CE3FEF"/>
    <w:rsid w:val="21F67102"/>
    <w:rsid w:val="221C1750"/>
    <w:rsid w:val="223B37E9"/>
    <w:rsid w:val="223D7D2B"/>
    <w:rsid w:val="22817927"/>
    <w:rsid w:val="22AC2B38"/>
    <w:rsid w:val="22AF480C"/>
    <w:rsid w:val="22BB72B0"/>
    <w:rsid w:val="22BE6120"/>
    <w:rsid w:val="22CE6359"/>
    <w:rsid w:val="22E3529E"/>
    <w:rsid w:val="231A1B88"/>
    <w:rsid w:val="23654AF6"/>
    <w:rsid w:val="2378063C"/>
    <w:rsid w:val="23BA185A"/>
    <w:rsid w:val="23D373CE"/>
    <w:rsid w:val="23EF7ABF"/>
    <w:rsid w:val="2424123D"/>
    <w:rsid w:val="243C780C"/>
    <w:rsid w:val="244316A7"/>
    <w:rsid w:val="245D739B"/>
    <w:rsid w:val="247C6727"/>
    <w:rsid w:val="24875F29"/>
    <w:rsid w:val="24951926"/>
    <w:rsid w:val="24B569AF"/>
    <w:rsid w:val="24B8269E"/>
    <w:rsid w:val="24DA6A09"/>
    <w:rsid w:val="24E9323E"/>
    <w:rsid w:val="24F80CB3"/>
    <w:rsid w:val="24FA5277"/>
    <w:rsid w:val="24FF7C82"/>
    <w:rsid w:val="250862A4"/>
    <w:rsid w:val="25107F58"/>
    <w:rsid w:val="251C1783"/>
    <w:rsid w:val="25447F72"/>
    <w:rsid w:val="256D44FF"/>
    <w:rsid w:val="25771747"/>
    <w:rsid w:val="257F027A"/>
    <w:rsid w:val="25B27612"/>
    <w:rsid w:val="25B820E9"/>
    <w:rsid w:val="25C40500"/>
    <w:rsid w:val="25F33F02"/>
    <w:rsid w:val="25F83B16"/>
    <w:rsid w:val="260C68E1"/>
    <w:rsid w:val="26176DF6"/>
    <w:rsid w:val="261974E4"/>
    <w:rsid w:val="261C28A4"/>
    <w:rsid w:val="261C3B26"/>
    <w:rsid w:val="261C3C3D"/>
    <w:rsid w:val="26337869"/>
    <w:rsid w:val="263B1B34"/>
    <w:rsid w:val="26406C8E"/>
    <w:rsid w:val="26451FA5"/>
    <w:rsid w:val="264D2758"/>
    <w:rsid w:val="264D4298"/>
    <w:rsid w:val="264E1223"/>
    <w:rsid w:val="26555306"/>
    <w:rsid w:val="265B3669"/>
    <w:rsid w:val="26645523"/>
    <w:rsid w:val="26823F8A"/>
    <w:rsid w:val="26A3556C"/>
    <w:rsid w:val="26AB07FA"/>
    <w:rsid w:val="26C14346"/>
    <w:rsid w:val="26C27FA0"/>
    <w:rsid w:val="26C94667"/>
    <w:rsid w:val="26F7799B"/>
    <w:rsid w:val="27062C4E"/>
    <w:rsid w:val="271B69FF"/>
    <w:rsid w:val="27227FBD"/>
    <w:rsid w:val="272F0C7A"/>
    <w:rsid w:val="273805C6"/>
    <w:rsid w:val="274C0642"/>
    <w:rsid w:val="2778738F"/>
    <w:rsid w:val="277E4ECC"/>
    <w:rsid w:val="278B41E4"/>
    <w:rsid w:val="279229DE"/>
    <w:rsid w:val="27DE0F81"/>
    <w:rsid w:val="27DF6CE9"/>
    <w:rsid w:val="280207AD"/>
    <w:rsid w:val="28502D59"/>
    <w:rsid w:val="289B7F4B"/>
    <w:rsid w:val="28B26AAD"/>
    <w:rsid w:val="28D27ABC"/>
    <w:rsid w:val="28EC2550"/>
    <w:rsid w:val="28ED6114"/>
    <w:rsid w:val="28EF64B2"/>
    <w:rsid w:val="28F762DF"/>
    <w:rsid w:val="291439E7"/>
    <w:rsid w:val="291A5D59"/>
    <w:rsid w:val="293F3B9D"/>
    <w:rsid w:val="293F66E1"/>
    <w:rsid w:val="295964EA"/>
    <w:rsid w:val="296F61EA"/>
    <w:rsid w:val="2996611D"/>
    <w:rsid w:val="2997393F"/>
    <w:rsid w:val="299A47B6"/>
    <w:rsid w:val="29A15BE6"/>
    <w:rsid w:val="29B846BA"/>
    <w:rsid w:val="29C02117"/>
    <w:rsid w:val="29C306E7"/>
    <w:rsid w:val="29C848C1"/>
    <w:rsid w:val="29E44ED1"/>
    <w:rsid w:val="2A37721E"/>
    <w:rsid w:val="2A442B56"/>
    <w:rsid w:val="2A4473A1"/>
    <w:rsid w:val="2A49179A"/>
    <w:rsid w:val="2A9D0FFF"/>
    <w:rsid w:val="2ABF681E"/>
    <w:rsid w:val="2AD45410"/>
    <w:rsid w:val="2AFE269C"/>
    <w:rsid w:val="2B125DC0"/>
    <w:rsid w:val="2B1E13C2"/>
    <w:rsid w:val="2B2D1D2E"/>
    <w:rsid w:val="2B5947F1"/>
    <w:rsid w:val="2B5F39E5"/>
    <w:rsid w:val="2B892816"/>
    <w:rsid w:val="2B8A62B0"/>
    <w:rsid w:val="2BBA58EA"/>
    <w:rsid w:val="2C0562E4"/>
    <w:rsid w:val="2C520438"/>
    <w:rsid w:val="2C6C3311"/>
    <w:rsid w:val="2C765346"/>
    <w:rsid w:val="2CDC1FF7"/>
    <w:rsid w:val="2CF23325"/>
    <w:rsid w:val="2D1714DD"/>
    <w:rsid w:val="2D454F2D"/>
    <w:rsid w:val="2D4E244D"/>
    <w:rsid w:val="2D60446E"/>
    <w:rsid w:val="2D723768"/>
    <w:rsid w:val="2D765450"/>
    <w:rsid w:val="2D81327F"/>
    <w:rsid w:val="2D9822E9"/>
    <w:rsid w:val="2DA679F1"/>
    <w:rsid w:val="2DB40FA3"/>
    <w:rsid w:val="2DC622C8"/>
    <w:rsid w:val="2DE316CA"/>
    <w:rsid w:val="2DEC33A6"/>
    <w:rsid w:val="2DF120F8"/>
    <w:rsid w:val="2E1903C8"/>
    <w:rsid w:val="2E293B23"/>
    <w:rsid w:val="2E2F171A"/>
    <w:rsid w:val="2E5658FA"/>
    <w:rsid w:val="2E68742A"/>
    <w:rsid w:val="2EB450C9"/>
    <w:rsid w:val="2EDF5967"/>
    <w:rsid w:val="2EEE6981"/>
    <w:rsid w:val="2F53780A"/>
    <w:rsid w:val="2F5F58C2"/>
    <w:rsid w:val="2F682A0B"/>
    <w:rsid w:val="2F683236"/>
    <w:rsid w:val="2F7037EA"/>
    <w:rsid w:val="2F8B0314"/>
    <w:rsid w:val="2FA91F32"/>
    <w:rsid w:val="2FE413C3"/>
    <w:rsid w:val="30002D94"/>
    <w:rsid w:val="301A6CC4"/>
    <w:rsid w:val="303969C6"/>
    <w:rsid w:val="306D2F23"/>
    <w:rsid w:val="307369C2"/>
    <w:rsid w:val="30757A77"/>
    <w:rsid w:val="30782869"/>
    <w:rsid w:val="30940766"/>
    <w:rsid w:val="30983B2F"/>
    <w:rsid w:val="309E1845"/>
    <w:rsid w:val="30C50865"/>
    <w:rsid w:val="30C9604A"/>
    <w:rsid w:val="30CB4F9E"/>
    <w:rsid w:val="30E1010B"/>
    <w:rsid w:val="30EB1C52"/>
    <w:rsid w:val="310E7083"/>
    <w:rsid w:val="31256064"/>
    <w:rsid w:val="312F2E48"/>
    <w:rsid w:val="313A445F"/>
    <w:rsid w:val="316676E8"/>
    <w:rsid w:val="319347D2"/>
    <w:rsid w:val="31973884"/>
    <w:rsid w:val="31CA37DA"/>
    <w:rsid w:val="31CB2228"/>
    <w:rsid w:val="31E70037"/>
    <w:rsid w:val="32026710"/>
    <w:rsid w:val="321D59C5"/>
    <w:rsid w:val="32467504"/>
    <w:rsid w:val="3262598B"/>
    <w:rsid w:val="329A2E62"/>
    <w:rsid w:val="329B091B"/>
    <w:rsid w:val="32A44F53"/>
    <w:rsid w:val="32AD3A53"/>
    <w:rsid w:val="32D6373C"/>
    <w:rsid w:val="333A1676"/>
    <w:rsid w:val="3374406C"/>
    <w:rsid w:val="3381752A"/>
    <w:rsid w:val="33891772"/>
    <w:rsid w:val="33CB3A83"/>
    <w:rsid w:val="33D629AC"/>
    <w:rsid w:val="33D66BF2"/>
    <w:rsid w:val="33F627FA"/>
    <w:rsid w:val="33FF37E6"/>
    <w:rsid w:val="34114638"/>
    <w:rsid w:val="342E1A2A"/>
    <w:rsid w:val="343535D5"/>
    <w:rsid w:val="34390D8E"/>
    <w:rsid w:val="34720C57"/>
    <w:rsid w:val="348073ED"/>
    <w:rsid w:val="34983561"/>
    <w:rsid w:val="34DA12A2"/>
    <w:rsid w:val="353B69C8"/>
    <w:rsid w:val="353E5AB8"/>
    <w:rsid w:val="35580C62"/>
    <w:rsid w:val="359E01CA"/>
    <w:rsid w:val="35A83CB6"/>
    <w:rsid w:val="35EA15AD"/>
    <w:rsid w:val="35EA35F8"/>
    <w:rsid w:val="35EE16BB"/>
    <w:rsid w:val="35FC4369"/>
    <w:rsid w:val="36136A08"/>
    <w:rsid w:val="36613CA3"/>
    <w:rsid w:val="366B6B2B"/>
    <w:rsid w:val="36BA1165"/>
    <w:rsid w:val="36BD03BF"/>
    <w:rsid w:val="36BF067E"/>
    <w:rsid w:val="36DB075F"/>
    <w:rsid w:val="37094AFD"/>
    <w:rsid w:val="372C57D2"/>
    <w:rsid w:val="372E30AF"/>
    <w:rsid w:val="373A6F8A"/>
    <w:rsid w:val="374F0FE8"/>
    <w:rsid w:val="375A55FF"/>
    <w:rsid w:val="376A5900"/>
    <w:rsid w:val="37931C0E"/>
    <w:rsid w:val="379A742B"/>
    <w:rsid w:val="383E10C6"/>
    <w:rsid w:val="384E2899"/>
    <w:rsid w:val="38536AD7"/>
    <w:rsid w:val="38817B3C"/>
    <w:rsid w:val="38923E40"/>
    <w:rsid w:val="38993626"/>
    <w:rsid w:val="38A549C7"/>
    <w:rsid w:val="38D67D4C"/>
    <w:rsid w:val="38DF5B66"/>
    <w:rsid w:val="390870E1"/>
    <w:rsid w:val="39253320"/>
    <w:rsid w:val="39481E8A"/>
    <w:rsid w:val="398D28D4"/>
    <w:rsid w:val="39A32E55"/>
    <w:rsid w:val="39B16CD6"/>
    <w:rsid w:val="39D97572"/>
    <w:rsid w:val="39E467E3"/>
    <w:rsid w:val="39EF3A3F"/>
    <w:rsid w:val="3A277B35"/>
    <w:rsid w:val="3A7E4BDF"/>
    <w:rsid w:val="3A9049EE"/>
    <w:rsid w:val="3AA44C49"/>
    <w:rsid w:val="3ADB2C36"/>
    <w:rsid w:val="3AE061AA"/>
    <w:rsid w:val="3AE23514"/>
    <w:rsid w:val="3AF32E3D"/>
    <w:rsid w:val="3AF77142"/>
    <w:rsid w:val="3B084090"/>
    <w:rsid w:val="3B1A66E3"/>
    <w:rsid w:val="3B405AE1"/>
    <w:rsid w:val="3B4C0417"/>
    <w:rsid w:val="3B703070"/>
    <w:rsid w:val="3B774218"/>
    <w:rsid w:val="3B8C2165"/>
    <w:rsid w:val="3B941B6D"/>
    <w:rsid w:val="3B947105"/>
    <w:rsid w:val="3B971BFA"/>
    <w:rsid w:val="3BB104B7"/>
    <w:rsid w:val="3BCB206D"/>
    <w:rsid w:val="3BCB4615"/>
    <w:rsid w:val="3BD708CD"/>
    <w:rsid w:val="3BF02ACA"/>
    <w:rsid w:val="3BFC19F8"/>
    <w:rsid w:val="3C1D0150"/>
    <w:rsid w:val="3C326290"/>
    <w:rsid w:val="3C4B5EF0"/>
    <w:rsid w:val="3C5322C1"/>
    <w:rsid w:val="3C5A2ACB"/>
    <w:rsid w:val="3C65344A"/>
    <w:rsid w:val="3CC46D3B"/>
    <w:rsid w:val="3CD26022"/>
    <w:rsid w:val="3CEB3F8E"/>
    <w:rsid w:val="3D1528B1"/>
    <w:rsid w:val="3D430DA3"/>
    <w:rsid w:val="3D44794A"/>
    <w:rsid w:val="3D485C19"/>
    <w:rsid w:val="3D4F33BF"/>
    <w:rsid w:val="3D71519E"/>
    <w:rsid w:val="3D8A0E5D"/>
    <w:rsid w:val="3DB00E67"/>
    <w:rsid w:val="3DD000AC"/>
    <w:rsid w:val="3DD2679D"/>
    <w:rsid w:val="3DFB1DEC"/>
    <w:rsid w:val="3DFD1B8F"/>
    <w:rsid w:val="3E046FEB"/>
    <w:rsid w:val="3E1D267B"/>
    <w:rsid w:val="3E1F0AAC"/>
    <w:rsid w:val="3E202D95"/>
    <w:rsid w:val="3E2B07B7"/>
    <w:rsid w:val="3E4E0094"/>
    <w:rsid w:val="3E63385D"/>
    <w:rsid w:val="3E942175"/>
    <w:rsid w:val="3E9A1C6A"/>
    <w:rsid w:val="3EB669B8"/>
    <w:rsid w:val="3EE04072"/>
    <w:rsid w:val="3EF34808"/>
    <w:rsid w:val="3F255C9D"/>
    <w:rsid w:val="3F2635F1"/>
    <w:rsid w:val="3F3E6BF3"/>
    <w:rsid w:val="3F485728"/>
    <w:rsid w:val="3F520AB9"/>
    <w:rsid w:val="3F5421AB"/>
    <w:rsid w:val="3F661774"/>
    <w:rsid w:val="3F925255"/>
    <w:rsid w:val="3FA93EFE"/>
    <w:rsid w:val="3FCC71B8"/>
    <w:rsid w:val="3FCF725A"/>
    <w:rsid w:val="3FD4464F"/>
    <w:rsid w:val="3FEF459D"/>
    <w:rsid w:val="3FFD520B"/>
    <w:rsid w:val="40074805"/>
    <w:rsid w:val="402218A4"/>
    <w:rsid w:val="405B7987"/>
    <w:rsid w:val="405E5232"/>
    <w:rsid w:val="40632ECF"/>
    <w:rsid w:val="40712CA1"/>
    <w:rsid w:val="40A36D38"/>
    <w:rsid w:val="40AC1FB2"/>
    <w:rsid w:val="40BB1C15"/>
    <w:rsid w:val="40E12358"/>
    <w:rsid w:val="410945BD"/>
    <w:rsid w:val="413445B1"/>
    <w:rsid w:val="41654D9C"/>
    <w:rsid w:val="417D7DDC"/>
    <w:rsid w:val="41A8447E"/>
    <w:rsid w:val="41C6223F"/>
    <w:rsid w:val="421A2CD4"/>
    <w:rsid w:val="42215D1F"/>
    <w:rsid w:val="422C113C"/>
    <w:rsid w:val="423158BC"/>
    <w:rsid w:val="42400CF3"/>
    <w:rsid w:val="42456EE0"/>
    <w:rsid w:val="42516FA8"/>
    <w:rsid w:val="4285485B"/>
    <w:rsid w:val="429622AB"/>
    <w:rsid w:val="42EB1149"/>
    <w:rsid w:val="42EF114B"/>
    <w:rsid w:val="43082DE1"/>
    <w:rsid w:val="434F020C"/>
    <w:rsid w:val="437533CF"/>
    <w:rsid w:val="43807C6E"/>
    <w:rsid w:val="439C6CD1"/>
    <w:rsid w:val="43AC3ED0"/>
    <w:rsid w:val="44017369"/>
    <w:rsid w:val="444301AF"/>
    <w:rsid w:val="44623D2C"/>
    <w:rsid w:val="447C6134"/>
    <w:rsid w:val="44895B69"/>
    <w:rsid w:val="44B17E5F"/>
    <w:rsid w:val="44D8395A"/>
    <w:rsid w:val="44DB390C"/>
    <w:rsid w:val="44F30A40"/>
    <w:rsid w:val="44F80874"/>
    <w:rsid w:val="44FB16C9"/>
    <w:rsid w:val="452527A3"/>
    <w:rsid w:val="454C118D"/>
    <w:rsid w:val="45665128"/>
    <w:rsid w:val="457554F3"/>
    <w:rsid w:val="4586134E"/>
    <w:rsid w:val="458B45CA"/>
    <w:rsid w:val="458F08B5"/>
    <w:rsid w:val="45935249"/>
    <w:rsid w:val="45994981"/>
    <w:rsid w:val="459F7615"/>
    <w:rsid w:val="45BF08CF"/>
    <w:rsid w:val="45C20E04"/>
    <w:rsid w:val="461606F9"/>
    <w:rsid w:val="465A36BE"/>
    <w:rsid w:val="465F65A3"/>
    <w:rsid w:val="466C0E9A"/>
    <w:rsid w:val="466C660F"/>
    <w:rsid w:val="46852414"/>
    <w:rsid w:val="468A5191"/>
    <w:rsid w:val="46970097"/>
    <w:rsid w:val="469E7547"/>
    <w:rsid w:val="46B523D5"/>
    <w:rsid w:val="46E5112A"/>
    <w:rsid w:val="46EB0CBA"/>
    <w:rsid w:val="477255AA"/>
    <w:rsid w:val="47760BEA"/>
    <w:rsid w:val="479C4B08"/>
    <w:rsid w:val="47A50DF1"/>
    <w:rsid w:val="47B95DE1"/>
    <w:rsid w:val="47C41E20"/>
    <w:rsid w:val="47E53336"/>
    <w:rsid w:val="48121827"/>
    <w:rsid w:val="481C2795"/>
    <w:rsid w:val="4843248B"/>
    <w:rsid w:val="484D2C90"/>
    <w:rsid w:val="484D58C8"/>
    <w:rsid w:val="486666FF"/>
    <w:rsid w:val="486A598C"/>
    <w:rsid w:val="48754CD0"/>
    <w:rsid w:val="487B18D3"/>
    <w:rsid w:val="48861791"/>
    <w:rsid w:val="48A25BDC"/>
    <w:rsid w:val="48DB7F34"/>
    <w:rsid w:val="48EB5921"/>
    <w:rsid w:val="49227DA9"/>
    <w:rsid w:val="493D0C4A"/>
    <w:rsid w:val="49562BF7"/>
    <w:rsid w:val="495A61C8"/>
    <w:rsid w:val="49A60223"/>
    <w:rsid w:val="49C323B0"/>
    <w:rsid w:val="49DF78A0"/>
    <w:rsid w:val="49E70CC3"/>
    <w:rsid w:val="49F1366F"/>
    <w:rsid w:val="4A042519"/>
    <w:rsid w:val="4A370F44"/>
    <w:rsid w:val="4A694B37"/>
    <w:rsid w:val="4A79544B"/>
    <w:rsid w:val="4A7F0A99"/>
    <w:rsid w:val="4AA947E6"/>
    <w:rsid w:val="4AAA12AD"/>
    <w:rsid w:val="4ABA77A5"/>
    <w:rsid w:val="4ABE4A3A"/>
    <w:rsid w:val="4ACA0F37"/>
    <w:rsid w:val="4AD70A26"/>
    <w:rsid w:val="4B283F7F"/>
    <w:rsid w:val="4B2E2F9D"/>
    <w:rsid w:val="4B586777"/>
    <w:rsid w:val="4B5A0632"/>
    <w:rsid w:val="4B7722CF"/>
    <w:rsid w:val="4B8C548E"/>
    <w:rsid w:val="4BC05DDF"/>
    <w:rsid w:val="4C0B15C2"/>
    <w:rsid w:val="4CA40566"/>
    <w:rsid w:val="4CA62F89"/>
    <w:rsid w:val="4CD00FC5"/>
    <w:rsid w:val="4D103103"/>
    <w:rsid w:val="4D194CF8"/>
    <w:rsid w:val="4D62779D"/>
    <w:rsid w:val="4D64716B"/>
    <w:rsid w:val="4D6E29AA"/>
    <w:rsid w:val="4D8174C9"/>
    <w:rsid w:val="4D951838"/>
    <w:rsid w:val="4D9F5F99"/>
    <w:rsid w:val="4DBE5E91"/>
    <w:rsid w:val="4DCA708B"/>
    <w:rsid w:val="4DF3743F"/>
    <w:rsid w:val="4DFC1262"/>
    <w:rsid w:val="4E010D22"/>
    <w:rsid w:val="4E172A10"/>
    <w:rsid w:val="4E3E7208"/>
    <w:rsid w:val="4E4B4045"/>
    <w:rsid w:val="4E5F588A"/>
    <w:rsid w:val="4E776686"/>
    <w:rsid w:val="4E9141ED"/>
    <w:rsid w:val="4E9D2670"/>
    <w:rsid w:val="4EAF5B7E"/>
    <w:rsid w:val="4EB6672E"/>
    <w:rsid w:val="4EF145AC"/>
    <w:rsid w:val="4EFF0C09"/>
    <w:rsid w:val="4F2F7DB8"/>
    <w:rsid w:val="4F5301EC"/>
    <w:rsid w:val="4F677E55"/>
    <w:rsid w:val="4F6D07AF"/>
    <w:rsid w:val="4F874166"/>
    <w:rsid w:val="4F931EB0"/>
    <w:rsid w:val="4FBA24BD"/>
    <w:rsid w:val="4FC1105C"/>
    <w:rsid w:val="4FC258D6"/>
    <w:rsid w:val="4FCB3C61"/>
    <w:rsid w:val="4FD1203B"/>
    <w:rsid w:val="4FD750E7"/>
    <w:rsid w:val="500D2D23"/>
    <w:rsid w:val="50347895"/>
    <w:rsid w:val="503B3905"/>
    <w:rsid w:val="503C3DD4"/>
    <w:rsid w:val="50485E4F"/>
    <w:rsid w:val="50545AFE"/>
    <w:rsid w:val="507329D5"/>
    <w:rsid w:val="50923DD5"/>
    <w:rsid w:val="50C57695"/>
    <w:rsid w:val="50D56345"/>
    <w:rsid w:val="50FE329E"/>
    <w:rsid w:val="51165C64"/>
    <w:rsid w:val="511F42E2"/>
    <w:rsid w:val="51240DC6"/>
    <w:rsid w:val="512920D0"/>
    <w:rsid w:val="512D42D1"/>
    <w:rsid w:val="513006A9"/>
    <w:rsid w:val="515632E6"/>
    <w:rsid w:val="515D0925"/>
    <w:rsid w:val="516251A6"/>
    <w:rsid w:val="51A94362"/>
    <w:rsid w:val="51B86697"/>
    <w:rsid w:val="51C71A6D"/>
    <w:rsid w:val="51E25C12"/>
    <w:rsid w:val="51EA2062"/>
    <w:rsid w:val="522F7AF0"/>
    <w:rsid w:val="523B3479"/>
    <w:rsid w:val="525C0F7F"/>
    <w:rsid w:val="526253F9"/>
    <w:rsid w:val="52AB0771"/>
    <w:rsid w:val="52F46CE2"/>
    <w:rsid w:val="53060402"/>
    <w:rsid w:val="531A25E6"/>
    <w:rsid w:val="5325277F"/>
    <w:rsid w:val="53A952EF"/>
    <w:rsid w:val="53DB2ACF"/>
    <w:rsid w:val="53F82FC6"/>
    <w:rsid w:val="5405262A"/>
    <w:rsid w:val="54141BB4"/>
    <w:rsid w:val="543660C9"/>
    <w:rsid w:val="54427157"/>
    <w:rsid w:val="5448099D"/>
    <w:rsid w:val="54631DEC"/>
    <w:rsid w:val="54672FE8"/>
    <w:rsid w:val="549129E7"/>
    <w:rsid w:val="549F45B8"/>
    <w:rsid w:val="54A5757B"/>
    <w:rsid w:val="54BB5536"/>
    <w:rsid w:val="54C21B68"/>
    <w:rsid w:val="54E0720A"/>
    <w:rsid w:val="55095E24"/>
    <w:rsid w:val="551878F2"/>
    <w:rsid w:val="553D10BC"/>
    <w:rsid w:val="554704E1"/>
    <w:rsid w:val="55562191"/>
    <w:rsid w:val="559D6E84"/>
    <w:rsid w:val="55B12C02"/>
    <w:rsid w:val="55BE0D4E"/>
    <w:rsid w:val="55C865A7"/>
    <w:rsid w:val="55CB7BC4"/>
    <w:rsid w:val="55D826E8"/>
    <w:rsid w:val="55E6077F"/>
    <w:rsid w:val="56015E4E"/>
    <w:rsid w:val="565433C6"/>
    <w:rsid w:val="565C3C0D"/>
    <w:rsid w:val="566C4BBB"/>
    <w:rsid w:val="569D7B8C"/>
    <w:rsid w:val="57066367"/>
    <w:rsid w:val="571C4ED4"/>
    <w:rsid w:val="572668D1"/>
    <w:rsid w:val="57443DB8"/>
    <w:rsid w:val="579A757F"/>
    <w:rsid w:val="57C7191F"/>
    <w:rsid w:val="57CD4331"/>
    <w:rsid w:val="57CF2C84"/>
    <w:rsid w:val="57E92E23"/>
    <w:rsid w:val="58022A10"/>
    <w:rsid w:val="580B41A9"/>
    <w:rsid w:val="58266B81"/>
    <w:rsid w:val="582B75E8"/>
    <w:rsid w:val="582C3827"/>
    <w:rsid w:val="582E7565"/>
    <w:rsid w:val="586367C6"/>
    <w:rsid w:val="587D27D1"/>
    <w:rsid w:val="588C6F73"/>
    <w:rsid w:val="58905362"/>
    <w:rsid w:val="58A06359"/>
    <w:rsid w:val="58B61436"/>
    <w:rsid w:val="58C70620"/>
    <w:rsid w:val="58D650ED"/>
    <w:rsid w:val="58D90B60"/>
    <w:rsid w:val="58D96736"/>
    <w:rsid w:val="58FD2A4A"/>
    <w:rsid w:val="590A093F"/>
    <w:rsid w:val="59417228"/>
    <w:rsid w:val="598643EA"/>
    <w:rsid w:val="59942FB5"/>
    <w:rsid w:val="59BC7018"/>
    <w:rsid w:val="59BD6FBE"/>
    <w:rsid w:val="5A0479FC"/>
    <w:rsid w:val="5A130F68"/>
    <w:rsid w:val="5A3924C8"/>
    <w:rsid w:val="5A3E6CB1"/>
    <w:rsid w:val="5A4D6335"/>
    <w:rsid w:val="5A51407F"/>
    <w:rsid w:val="5A574990"/>
    <w:rsid w:val="5A7F534E"/>
    <w:rsid w:val="5A806083"/>
    <w:rsid w:val="5A8F7DB4"/>
    <w:rsid w:val="5A902C6B"/>
    <w:rsid w:val="5A9446E4"/>
    <w:rsid w:val="5A9B600A"/>
    <w:rsid w:val="5AA06864"/>
    <w:rsid w:val="5ACC56AB"/>
    <w:rsid w:val="5B2B4EB4"/>
    <w:rsid w:val="5B3E59DD"/>
    <w:rsid w:val="5B5903A0"/>
    <w:rsid w:val="5B627A88"/>
    <w:rsid w:val="5B6A6409"/>
    <w:rsid w:val="5B7759C9"/>
    <w:rsid w:val="5B7E7D40"/>
    <w:rsid w:val="5B8865C3"/>
    <w:rsid w:val="5B8A7F20"/>
    <w:rsid w:val="5BF83414"/>
    <w:rsid w:val="5BFB4CDB"/>
    <w:rsid w:val="5BFE5306"/>
    <w:rsid w:val="5C212F18"/>
    <w:rsid w:val="5C534443"/>
    <w:rsid w:val="5C670814"/>
    <w:rsid w:val="5C802F59"/>
    <w:rsid w:val="5C84188A"/>
    <w:rsid w:val="5C922EAB"/>
    <w:rsid w:val="5C957F70"/>
    <w:rsid w:val="5CF32721"/>
    <w:rsid w:val="5D05184A"/>
    <w:rsid w:val="5D0C036B"/>
    <w:rsid w:val="5D1D3A47"/>
    <w:rsid w:val="5D2813EA"/>
    <w:rsid w:val="5D302342"/>
    <w:rsid w:val="5D3E5B8C"/>
    <w:rsid w:val="5D5B71A1"/>
    <w:rsid w:val="5D7F734A"/>
    <w:rsid w:val="5DA9333D"/>
    <w:rsid w:val="5DBC1EAA"/>
    <w:rsid w:val="5DD70E3F"/>
    <w:rsid w:val="5DE84A72"/>
    <w:rsid w:val="5DE91E48"/>
    <w:rsid w:val="5E134296"/>
    <w:rsid w:val="5E293C98"/>
    <w:rsid w:val="5E347AA9"/>
    <w:rsid w:val="5E525BF2"/>
    <w:rsid w:val="5E5C046F"/>
    <w:rsid w:val="5E7C5DCF"/>
    <w:rsid w:val="5EA45B95"/>
    <w:rsid w:val="5EC14231"/>
    <w:rsid w:val="5EEA3433"/>
    <w:rsid w:val="5EF57AAF"/>
    <w:rsid w:val="5F1B1FA5"/>
    <w:rsid w:val="5F2A61B6"/>
    <w:rsid w:val="5F8178B6"/>
    <w:rsid w:val="5F8C1209"/>
    <w:rsid w:val="5FB113FD"/>
    <w:rsid w:val="5FC402C7"/>
    <w:rsid w:val="5FDB55E6"/>
    <w:rsid w:val="5FF052AA"/>
    <w:rsid w:val="5FF157AE"/>
    <w:rsid w:val="5FF47DA4"/>
    <w:rsid w:val="5FFB17AD"/>
    <w:rsid w:val="600C667C"/>
    <w:rsid w:val="603F4DCC"/>
    <w:rsid w:val="604C5FF0"/>
    <w:rsid w:val="6054773A"/>
    <w:rsid w:val="60615CC5"/>
    <w:rsid w:val="609423B3"/>
    <w:rsid w:val="60B4340B"/>
    <w:rsid w:val="60C355BB"/>
    <w:rsid w:val="60CC4B7E"/>
    <w:rsid w:val="60DA5AA2"/>
    <w:rsid w:val="60E705C3"/>
    <w:rsid w:val="60FB2CAD"/>
    <w:rsid w:val="60FF26E6"/>
    <w:rsid w:val="61025E60"/>
    <w:rsid w:val="613802FF"/>
    <w:rsid w:val="61384E75"/>
    <w:rsid w:val="615C71A0"/>
    <w:rsid w:val="61673581"/>
    <w:rsid w:val="61AE1033"/>
    <w:rsid w:val="61D323EF"/>
    <w:rsid w:val="61E167D5"/>
    <w:rsid w:val="61E93AFB"/>
    <w:rsid w:val="62463696"/>
    <w:rsid w:val="6281064D"/>
    <w:rsid w:val="62AC3B7E"/>
    <w:rsid w:val="62B91F13"/>
    <w:rsid w:val="62CC0414"/>
    <w:rsid w:val="62EA3C47"/>
    <w:rsid w:val="62EF6BE2"/>
    <w:rsid w:val="638D169E"/>
    <w:rsid w:val="639250D4"/>
    <w:rsid w:val="63A66729"/>
    <w:rsid w:val="63A733FA"/>
    <w:rsid w:val="63AF0792"/>
    <w:rsid w:val="63C96D9A"/>
    <w:rsid w:val="63CB465D"/>
    <w:rsid w:val="63E178B0"/>
    <w:rsid w:val="64026F22"/>
    <w:rsid w:val="64292A43"/>
    <w:rsid w:val="643102BA"/>
    <w:rsid w:val="643E217D"/>
    <w:rsid w:val="64511331"/>
    <w:rsid w:val="645F555F"/>
    <w:rsid w:val="64C77CD9"/>
    <w:rsid w:val="64DF1425"/>
    <w:rsid w:val="64E13ED7"/>
    <w:rsid w:val="6501430E"/>
    <w:rsid w:val="6520193C"/>
    <w:rsid w:val="652068B2"/>
    <w:rsid w:val="65B7217E"/>
    <w:rsid w:val="65C0002D"/>
    <w:rsid w:val="65ED48E1"/>
    <w:rsid w:val="66011AD4"/>
    <w:rsid w:val="66160D5B"/>
    <w:rsid w:val="668268F8"/>
    <w:rsid w:val="668F15E3"/>
    <w:rsid w:val="66AE78C1"/>
    <w:rsid w:val="66BB3CC9"/>
    <w:rsid w:val="66CC3285"/>
    <w:rsid w:val="67051BC5"/>
    <w:rsid w:val="670F15A6"/>
    <w:rsid w:val="6736018C"/>
    <w:rsid w:val="673F2720"/>
    <w:rsid w:val="674571A9"/>
    <w:rsid w:val="67494A68"/>
    <w:rsid w:val="675C07C4"/>
    <w:rsid w:val="675D004D"/>
    <w:rsid w:val="675F70FD"/>
    <w:rsid w:val="67705FE1"/>
    <w:rsid w:val="67C74FBA"/>
    <w:rsid w:val="67F560F8"/>
    <w:rsid w:val="67FD0C69"/>
    <w:rsid w:val="681D593C"/>
    <w:rsid w:val="683E14AD"/>
    <w:rsid w:val="683E73A9"/>
    <w:rsid w:val="688324CE"/>
    <w:rsid w:val="68B63562"/>
    <w:rsid w:val="68BB3A2C"/>
    <w:rsid w:val="68E50649"/>
    <w:rsid w:val="69257DAC"/>
    <w:rsid w:val="69261E0A"/>
    <w:rsid w:val="694B606D"/>
    <w:rsid w:val="69516C2B"/>
    <w:rsid w:val="696A32CE"/>
    <w:rsid w:val="69891EA2"/>
    <w:rsid w:val="6A215F85"/>
    <w:rsid w:val="6A6B2919"/>
    <w:rsid w:val="6A704EFD"/>
    <w:rsid w:val="6A7323E5"/>
    <w:rsid w:val="6A8C7835"/>
    <w:rsid w:val="6ACD53A6"/>
    <w:rsid w:val="6ACF2E06"/>
    <w:rsid w:val="6ADD3F45"/>
    <w:rsid w:val="6AEB4C5D"/>
    <w:rsid w:val="6AF162E3"/>
    <w:rsid w:val="6AF76BAD"/>
    <w:rsid w:val="6AFB7203"/>
    <w:rsid w:val="6B234CA4"/>
    <w:rsid w:val="6B3211F0"/>
    <w:rsid w:val="6B34125D"/>
    <w:rsid w:val="6B5C5614"/>
    <w:rsid w:val="6B7B667B"/>
    <w:rsid w:val="6B7F106D"/>
    <w:rsid w:val="6B9A7EA9"/>
    <w:rsid w:val="6BB05098"/>
    <w:rsid w:val="6BDE3CCD"/>
    <w:rsid w:val="6BEB1435"/>
    <w:rsid w:val="6C044563"/>
    <w:rsid w:val="6C0C7E97"/>
    <w:rsid w:val="6C325682"/>
    <w:rsid w:val="6C333A97"/>
    <w:rsid w:val="6C3D565A"/>
    <w:rsid w:val="6C472B6F"/>
    <w:rsid w:val="6C502FA4"/>
    <w:rsid w:val="6C845DAC"/>
    <w:rsid w:val="6CAD537F"/>
    <w:rsid w:val="6CC555D9"/>
    <w:rsid w:val="6CC814B1"/>
    <w:rsid w:val="6CDC559F"/>
    <w:rsid w:val="6CE82D8B"/>
    <w:rsid w:val="6D0015E2"/>
    <w:rsid w:val="6D1536D8"/>
    <w:rsid w:val="6D292F6F"/>
    <w:rsid w:val="6D2B765A"/>
    <w:rsid w:val="6D3716D5"/>
    <w:rsid w:val="6D371D44"/>
    <w:rsid w:val="6D3B1D7D"/>
    <w:rsid w:val="6D514CAB"/>
    <w:rsid w:val="6D772183"/>
    <w:rsid w:val="6D7A31ED"/>
    <w:rsid w:val="6D8A00BC"/>
    <w:rsid w:val="6D970955"/>
    <w:rsid w:val="6DC468C8"/>
    <w:rsid w:val="6DC91443"/>
    <w:rsid w:val="6DD45A02"/>
    <w:rsid w:val="6E0961CC"/>
    <w:rsid w:val="6E41207D"/>
    <w:rsid w:val="6E7D6138"/>
    <w:rsid w:val="6E8478BC"/>
    <w:rsid w:val="6E9445FA"/>
    <w:rsid w:val="6EA61133"/>
    <w:rsid w:val="6EC1179A"/>
    <w:rsid w:val="6EC823F7"/>
    <w:rsid w:val="6ED72B7B"/>
    <w:rsid w:val="6EED697E"/>
    <w:rsid w:val="6EF36119"/>
    <w:rsid w:val="6F0872B9"/>
    <w:rsid w:val="6F192E8D"/>
    <w:rsid w:val="6F4D2C48"/>
    <w:rsid w:val="6F5B4F76"/>
    <w:rsid w:val="6F7E18C9"/>
    <w:rsid w:val="6F7E2968"/>
    <w:rsid w:val="6F91649E"/>
    <w:rsid w:val="6F9471CE"/>
    <w:rsid w:val="6FB23CD8"/>
    <w:rsid w:val="6FC77966"/>
    <w:rsid w:val="6FC846F0"/>
    <w:rsid w:val="70715A48"/>
    <w:rsid w:val="70A34766"/>
    <w:rsid w:val="70B16F4F"/>
    <w:rsid w:val="70E41C8A"/>
    <w:rsid w:val="70EC3CB1"/>
    <w:rsid w:val="70F84E7D"/>
    <w:rsid w:val="710B5B27"/>
    <w:rsid w:val="711B5C2B"/>
    <w:rsid w:val="711C53D1"/>
    <w:rsid w:val="71320102"/>
    <w:rsid w:val="71324F4C"/>
    <w:rsid w:val="71357D03"/>
    <w:rsid w:val="71645C0C"/>
    <w:rsid w:val="716B1A4D"/>
    <w:rsid w:val="71704246"/>
    <w:rsid w:val="71885CAD"/>
    <w:rsid w:val="71BE423B"/>
    <w:rsid w:val="71EA1B3E"/>
    <w:rsid w:val="720636D7"/>
    <w:rsid w:val="72206137"/>
    <w:rsid w:val="72367ADD"/>
    <w:rsid w:val="725E5754"/>
    <w:rsid w:val="7273509B"/>
    <w:rsid w:val="727710E7"/>
    <w:rsid w:val="727944FB"/>
    <w:rsid w:val="72835FD8"/>
    <w:rsid w:val="72883245"/>
    <w:rsid w:val="72BD4931"/>
    <w:rsid w:val="72F01393"/>
    <w:rsid w:val="72F109D7"/>
    <w:rsid w:val="72FC24B2"/>
    <w:rsid w:val="73317644"/>
    <w:rsid w:val="73354B1B"/>
    <w:rsid w:val="734F32EB"/>
    <w:rsid w:val="735A67B2"/>
    <w:rsid w:val="738909CA"/>
    <w:rsid w:val="738966FA"/>
    <w:rsid w:val="738D1C29"/>
    <w:rsid w:val="73906441"/>
    <w:rsid w:val="73A00039"/>
    <w:rsid w:val="73BC4437"/>
    <w:rsid w:val="73C76348"/>
    <w:rsid w:val="73C848E2"/>
    <w:rsid w:val="73EF1E60"/>
    <w:rsid w:val="741D4109"/>
    <w:rsid w:val="74994180"/>
    <w:rsid w:val="75941D6A"/>
    <w:rsid w:val="75AA5EE5"/>
    <w:rsid w:val="75AE3049"/>
    <w:rsid w:val="75B21B2C"/>
    <w:rsid w:val="75C25DCA"/>
    <w:rsid w:val="75DA6F3B"/>
    <w:rsid w:val="75E513A5"/>
    <w:rsid w:val="75ED1F04"/>
    <w:rsid w:val="75F14D18"/>
    <w:rsid w:val="75F21DD9"/>
    <w:rsid w:val="760F4801"/>
    <w:rsid w:val="76141ED2"/>
    <w:rsid w:val="76156612"/>
    <w:rsid w:val="762E67F0"/>
    <w:rsid w:val="764736E7"/>
    <w:rsid w:val="7663124D"/>
    <w:rsid w:val="768E0197"/>
    <w:rsid w:val="769D1895"/>
    <w:rsid w:val="76E3341A"/>
    <w:rsid w:val="77094379"/>
    <w:rsid w:val="770F2FAC"/>
    <w:rsid w:val="77293986"/>
    <w:rsid w:val="77334F00"/>
    <w:rsid w:val="773A74D8"/>
    <w:rsid w:val="77556BF4"/>
    <w:rsid w:val="775D0BCD"/>
    <w:rsid w:val="77696CB8"/>
    <w:rsid w:val="77776EEE"/>
    <w:rsid w:val="77823F29"/>
    <w:rsid w:val="77881AB5"/>
    <w:rsid w:val="77A15795"/>
    <w:rsid w:val="77A810E0"/>
    <w:rsid w:val="77B92616"/>
    <w:rsid w:val="77CC5598"/>
    <w:rsid w:val="77D26BEA"/>
    <w:rsid w:val="77E97A8C"/>
    <w:rsid w:val="781911D1"/>
    <w:rsid w:val="78551E6A"/>
    <w:rsid w:val="78A022B5"/>
    <w:rsid w:val="78A622EC"/>
    <w:rsid w:val="78C97C30"/>
    <w:rsid w:val="78D01FF0"/>
    <w:rsid w:val="78FD780F"/>
    <w:rsid w:val="79035BA5"/>
    <w:rsid w:val="7920466A"/>
    <w:rsid w:val="792E4185"/>
    <w:rsid w:val="79447C76"/>
    <w:rsid w:val="794C631E"/>
    <w:rsid w:val="79764542"/>
    <w:rsid w:val="798E17EC"/>
    <w:rsid w:val="799F275D"/>
    <w:rsid w:val="79BB25D0"/>
    <w:rsid w:val="79C97B8B"/>
    <w:rsid w:val="7A0B6628"/>
    <w:rsid w:val="7A225E22"/>
    <w:rsid w:val="7A2D30C9"/>
    <w:rsid w:val="7A420691"/>
    <w:rsid w:val="7A4938C5"/>
    <w:rsid w:val="7A4C5A90"/>
    <w:rsid w:val="7A6B72FF"/>
    <w:rsid w:val="7A6F49E6"/>
    <w:rsid w:val="7A996216"/>
    <w:rsid w:val="7A9A5B14"/>
    <w:rsid w:val="7AB608F8"/>
    <w:rsid w:val="7ABA7FB0"/>
    <w:rsid w:val="7ACD4BBF"/>
    <w:rsid w:val="7AD11CFC"/>
    <w:rsid w:val="7AD45F57"/>
    <w:rsid w:val="7AE77C77"/>
    <w:rsid w:val="7AF070D2"/>
    <w:rsid w:val="7AF13629"/>
    <w:rsid w:val="7B001914"/>
    <w:rsid w:val="7B1219AA"/>
    <w:rsid w:val="7B1962C5"/>
    <w:rsid w:val="7B3431BA"/>
    <w:rsid w:val="7B5D77B6"/>
    <w:rsid w:val="7B72737E"/>
    <w:rsid w:val="7B7312BA"/>
    <w:rsid w:val="7B944A71"/>
    <w:rsid w:val="7BA35129"/>
    <w:rsid w:val="7BB64C8B"/>
    <w:rsid w:val="7BCE08D1"/>
    <w:rsid w:val="7BE916DF"/>
    <w:rsid w:val="7C0142B0"/>
    <w:rsid w:val="7C1100A4"/>
    <w:rsid w:val="7C134D81"/>
    <w:rsid w:val="7C2D0398"/>
    <w:rsid w:val="7C4544D3"/>
    <w:rsid w:val="7C740437"/>
    <w:rsid w:val="7CA11FFF"/>
    <w:rsid w:val="7CF525FE"/>
    <w:rsid w:val="7D163883"/>
    <w:rsid w:val="7D1919B4"/>
    <w:rsid w:val="7D290D3E"/>
    <w:rsid w:val="7D3A5AA0"/>
    <w:rsid w:val="7D494B6D"/>
    <w:rsid w:val="7D564894"/>
    <w:rsid w:val="7D620784"/>
    <w:rsid w:val="7D7B4AD0"/>
    <w:rsid w:val="7D895466"/>
    <w:rsid w:val="7D975387"/>
    <w:rsid w:val="7DA90B92"/>
    <w:rsid w:val="7DCE7983"/>
    <w:rsid w:val="7E1100C6"/>
    <w:rsid w:val="7E166400"/>
    <w:rsid w:val="7E243AC6"/>
    <w:rsid w:val="7E2748ED"/>
    <w:rsid w:val="7E317DB4"/>
    <w:rsid w:val="7E3745CC"/>
    <w:rsid w:val="7E686F93"/>
    <w:rsid w:val="7E705720"/>
    <w:rsid w:val="7E892A61"/>
    <w:rsid w:val="7E942741"/>
    <w:rsid w:val="7E9637CA"/>
    <w:rsid w:val="7EA14AD9"/>
    <w:rsid w:val="7EAE48A7"/>
    <w:rsid w:val="7EBA3CE6"/>
    <w:rsid w:val="7EBA6203"/>
    <w:rsid w:val="7EFC3FDF"/>
    <w:rsid w:val="7F233875"/>
    <w:rsid w:val="7F293EF4"/>
    <w:rsid w:val="7F5D49C5"/>
    <w:rsid w:val="7F757AAD"/>
    <w:rsid w:val="7F8C0FF2"/>
    <w:rsid w:val="7F962792"/>
    <w:rsid w:val="7FAF4816"/>
    <w:rsid w:val="7FB209A6"/>
    <w:rsid w:val="7FCB10BD"/>
    <w:rsid w:val="7FED7221"/>
    <w:rsid w:val="7FF11622"/>
    <w:rsid w:val="7FF2334A"/>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rules v:ext="edit">
        <o:r id="V:Rule1" type="connector" idref="#直接箭头连接符 15"/>
        <o:r id="V:Rule2" type="connector" idref="#直接箭头连接符 19"/>
        <o:r id="V:Rule3" type="connector" idref="#直接箭头连接符 24"/>
        <o:r id="V:Rule4" type="connector" idref="#直接箭头连接符 45"/>
        <o:r id="V:Rule5" type="connector" idref="#_x0000_s2165"/>
        <o:r id="V:Rule6" type="connector" idref="#_x0000_s2177"/>
        <o:r id="V:Rule7" type="connector" idref="#_x0000_s2178"/>
        <o:r id="V:Rule8" type="connector" idref="#直接箭头连接符 115"/>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35"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99" w:semiHidden="0" w:name="Date"/>
    <w:lsdException w:qFormat="1" w:unhideWhenUsed="0" w:uiPriority="99" w:semiHidden="0" w:name="Body Text First Indent"/>
    <w:lsdException w:uiPriority="99" w:name="Body Text First Indent 2"/>
    <w:lsdException w:uiPriority="99" w:name="Note Heading"/>
    <w:lsdException w:qFormat="1" w:unhideWhenUsed="0" w:uiPriority="99" w:semiHidden="0" w:name="Body Text 2"/>
    <w:lsdException w:uiPriority="99" w:name="Body Text 3"/>
    <w:lsdException w:qFormat="1" w:unhideWhenUsed="0" w:uiPriority="99" w:semiHidden="0" w:name="Body Text Indent 2"/>
    <w:lsdException w:qFormat="1" w:unhideWhenUsed="0" w:uiPriority="99" w:semiHidden="0" w:name="Body Text Indent 3"/>
    <w:lsdException w:uiPriority="99"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nhideWhenUsed="0" w:uiPriority="99" w:semiHidden="0"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99" w:semiHidden="0"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link w:val="30"/>
    <w:qFormat/>
    <w:uiPriority w:val="9"/>
    <w:pPr>
      <w:keepNext/>
      <w:keepLines/>
      <w:spacing w:before="340" w:after="330" w:line="578" w:lineRule="auto"/>
      <w:outlineLvl w:val="0"/>
    </w:pPr>
    <w:rPr>
      <w:b/>
      <w:bCs/>
      <w:kern w:val="44"/>
      <w:sz w:val="44"/>
      <w:szCs w:val="44"/>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Layout w:type="fixed"/>
      <w:tblCellMar>
        <w:top w:w="0" w:type="dxa"/>
        <w:left w:w="108" w:type="dxa"/>
        <w:bottom w:w="0" w:type="dxa"/>
        <w:right w:w="108" w:type="dxa"/>
      </w:tblCellMar>
    </w:tblPr>
  </w:style>
  <w:style w:type="paragraph" w:styleId="2">
    <w:name w:val="Body Text First Indent"/>
    <w:basedOn w:val="3"/>
    <w:link w:val="34"/>
    <w:qFormat/>
    <w:uiPriority w:val="99"/>
    <w:pPr>
      <w:spacing w:after="120" w:line="240" w:lineRule="auto"/>
      <w:ind w:firstLine="420" w:firstLineChars="100"/>
      <w:jc w:val="both"/>
    </w:pPr>
    <w:rPr>
      <w:sz w:val="21"/>
      <w:szCs w:val="21"/>
    </w:rPr>
  </w:style>
  <w:style w:type="paragraph" w:styleId="3">
    <w:name w:val="Body Text"/>
    <w:basedOn w:val="1"/>
    <w:link w:val="33"/>
    <w:qFormat/>
    <w:uiPriority w:val="99"/>
    <w:pPr>
      <w:spacing w:line="360" w:lineRule="auto"/>
      <w:jc w:val="center"/>
    </w:pPr>
    <w:rPr>
      <w:sz w:val="24"/>
    </w:rPr>
  </w:style>
  <w:style w:type="paragraph" w:styleId="5">
    <w:name w:val="Normal Indent"/>
    <w:basedOn w:val="1"/>
    <w:link w:val="46"/>
    <w:qFormat/>
    <w:uiPriority w:val="0"/>
    <w:pPr>
      <w:ind w:firstLine="420" w:firstLineChars="200"/>
    </w:pPr>
    <w:rPr>
      <w:rFonts w:ascii="宋体" w:hAnsi="PMingLiU"/>
      <w:sz w:val="24"/>
      <w:szCs w:val="20"/>
    </w:rPr>
  </w:style>
  <w:style w:type="paragraph" w:styleId="6">
    <w:name w:val="caption"/>
    <w:basedOn w:val="1"/>
    <w:next w:val="1"/>
    <w:qFormat/>
    <w:uiPriority w:val="35"/>
    <w:rPr>
      <w:rFonts w:ascii="Arial" w:hAnsi="Arial" w:eastAsia="黑体" w:cs="Arial"/>
      <w:sz w:val="20"/>
      <w:szCs w:val="20"/>
    </w:rPr>
  </w:style>
  <w:style w:type="paragraph" w:styleId="7">
    <w:name w:val="Document Map"/>
    <w:basedOn w:val="1"/>
    <w:link w:val="35"/>
    <w:qFormat/>
    <w:uiPriority w:val="99"/>
    <w:pPr>
      <w:shd w:val="clear" w:color="auto" w:fill="000080"/>
    </w:pPr>
  </w:style>
  <w:style w:type="paragraph" w:styleId="8">
    <w:name w:val="annotation text"/>
    <w:basedOn w:val="1"/>
    <w:link w:val="31"/>
    <w:qFormat/>
    <w:uiPriority w:val="99"/>
    <w:pPr>
      <w:jc w:val="left"/>
    </w:pPr>
  </w:style>
  <w:style w:type="paragraph" w:styleId="9">
    <w:name w:val="Body Text Indent"/>
    <w:basedOn w:val="1"/>
    <w:link w:val="36"/>
    <w:qFormat/>
    <w:uiPriority w:val="99"/>
    <w:pPr>
      <w:ind w:firstLine="435"/>
    </w:pPr>
    <w:rPr>
      <w:rFonts w:ascii="宋体" w:hAnsi="宋体"/>
      <w:bCs/>
      <w:u w:val="wave"/>
    </w:rPr>
  </w:style>
  <w:style w:type="paragraph" w:styleId="10">
    <w:name w:val="Plain Text"/>
    <w:basedOn w:val="1"/>
    <w:link w:val="64"/>
    <w:qFormat/>
    <w:uiPriority w:val="0"/>
    <w:rPr>
      <w:rFonts w:ascii="宋体" w:hAnsi="Courier New"/>
      <w:szCs w:val="20"/>
    </w:rPr>
  </w:style>
  <w:style w:type="paragraph" w:styleId="11">
    <w:name w:val="Date"/>
    <w:basedOn w:val="1"/>
    <w:next w:val="1"/>
    <w:link w:val="38"/>
    <w:qFormat/>
    <w:uiPriority w:val="99"/>
    <w:pPr>
      <w:ind w:left="100" w:leftChars="2500"/>
    </w:pPr>
    <w:rPr>
      <w:color w:val="0000FF"/>
      <w:sz w:val="28"/>
      <w:szCs w:val="20"/>
    </w:rPr>
  </w:style>
  <w:style w:type="paragraph" w:styleId="12">
    <w:name w:val="Body Text Indent 2"/>
    <w:basedOn w:val="1"/>
    <w:link w:val="39"/>
    <w:qFormat/>
    <w:uiPriority w:val="99"/>
    <w:pPr>
      <w:ind w:left="432" w:firstLine="407" w:firstLineChars="194"/>
    </w:pPr>
    <w:rPr>
      <w:rFonts w:ascii="宋体" w:hAnsi="宋体"/>
      <w:bCs/>
      <w:szCs w:val="28"/>
    </w:rPr>
  </w:style>
  <w:style w:type="paragraph" w:styleId="13">
    <w:name w:val="Balloon Text"/>
    <w:basedOn w:val="1"/>
    <w:link w:val="40"/>
    <w:qFormat/>
    <w:uiPriority w:val="99"/>
    <w:rPr>
      <w:sz w:val="18"/>
      <w:szCs w:val="18"/>
    </w:rPr>
  </w:style>
  <w:style w:type="paragraph" w:styleId="14">
    <w:name w:val="footer"/>
    <w:basedOn w:val="1"/>
    <w:link w:val="41"/>
    <w:qFormat/>
    <w:uiPriority w:val="99"/>
    <w:pPr>
      <w:tabs>
        <w:tab w:val="center" w:pos="4153"/>
        <w:tab w:val="right" w:pos="8306"/>
      </w:tabs>
      <w:snapToGrid w:val="0"/>
      <w:jc w:val="left"/>
    </w:pPr>
    <w:rPr>
      <w:sz w:val="18"/>
      <w:szCs w:val="18"/>
    </w:rPr>
  </w:style>
  <w:style w:type="paragraph" w:styleId="15">
    <w:name w:val="header"/>
    <w:basedOn w:val="1"/>
    <w:link w:val="42"/>
    <w:qFormat/>
    <w:uiPriority w:val="99"/>
    <w:pPr>
      <w:tabs>
        <w:tab w:val="center" w:pos="4153"/>
        <w:tab w:val="right" w:pos="8306"/>
      </w:tabs>
      <w:snapToGrid w:val="0"/>
      <w:jc w:val="center"/>
    </w:pPr>
    <w:rPr>
      <w:sz w:val="18"/>
      <w:szCs w:val="18"/>
    </w:rPr>
  </w:style>
  <w:style w:type="paragraph" w:styleId="16">
    <w:name w:val="toc 1"/>
    <w:basedOn w:val="1"/>
    <w:next w:val="1"/>
    <w:qFormat/>
    <w:uiPriority w:val="39"/>
    <w:rPr>
      <w:szCs w:val="20"/>
    </w:rPr>
  </w:style>
  <w:style w:type="paragraph" w:styleId="17">
    <w:name w:val="Body Text Indent 3"/>
    <w:basedOn w:val="1"/>
    <w:link w:val="43"/>
    <w:qFormat/>
    <w:uiPriority w:val="99"/>
    <w:pPr>
      <w:spacing w:line="360" w:lineRule="auto"/>
      <w:ind w:firstLine="420"/>
    </w:pPr>
    <w:rPr>
      <w:rFonts w:ascii="黑体" w:hAnsi="宋体" w:eastAsia="黑体"/>
      <w:bCs/>
      <w:sz w:val="24"/>
      <w:szCs w:val="28"/>
    </w:rPr>
  </w:style>
  <w:style w:type="paragraph" w:styleId="18">
    <w:name w:val="Body Text 2"/>
    <w:basedOn w:val="1"/>
    <w:link w:val="44"/>
    <w:qFormat/>
    <w:uiPriority w:val="99"/>
    <w:pPr>
      <w:spacing w:after="120" w:line="480" w:lineRule="auto"/>
    </w:pPr>
    <w:rPr>
      <w:sz w:val="28"/>
      <w:szCs w:val="20"/>
    </w:rPr>
  </w:style>
  <w:style w:type="paragraph" w:styleId="19">
    <w:name w:val="HTML Preformatted"/>
    <w:basedOn w:val="1"/>
    <w:link w:val="45"/>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20">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21">
    <w:name w:val="annotation subject"/>
    <w:basedOn w:val="8"/>
    <w:next w:val="8"/>
    <w:link w:val="32"/>
    <w:qFormat/>
    <w:uiPriority w:val="99"/>
    <w:rPr>
      <w:b/>
      <w:bCs/>
    </w:rPr>
  </w:style>
  <w:style w:type="table" w:styleId="23">
    <w:name w:val="Table Grid"/>
    <w:basedOn w:val="22"/>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25">
    <w:name w:val="Strong"/>
    <w:basedOn w:val="24"/>
    <w:qFormat/>
    <w:uiPriority w:val="22"/>
    <w:rPr>
      <w:b/>
    </w:rPr>
  </w:style>
  <w:style w:type="character" w:styleId="26">
    <w:name w:val="page number"/>
    <w:basedOn w:val="24"/>
    <w:qFormat/>
    <w:uiPriority w:val="0"/>
    <w:rPr>
      <w:rFonts w:cs="Times New Roman"/>
    </w:rPr>
  </w:style>
  <w:style w:type="character" w:styleId="27">
    <w:name w:val="FollowedHyperlink"/>
    <w:basedOn w:val="24"/>
    <w:unhideWhenUsed/>
    <w:qFormat/>
    <w:uiPriority w:val="99"/>
    <w:rPr>
      <w:color w:val="800080"/>
      <w:u w:val="none"/>
    </w:rPr>
  </w:style>
  <w:style w:type="character" w:styleId="28">
    <w:name w:val="Hyperlink"/>
    <w:basedOn w:val="24"/>
    <w:qFormat/>
    <w:uiPriority w:val="99"/>
    <w:rPr>
      <w:color w:val="136EC2"/>
      <w:u w:val="single"/>
    </w:rPr>
  </w:style>
  <w:style w:type="character" w:styleId="29">
    <w:name w:val="annotation reference"/>
    <w:basedOn w:val="24"/>
    <w:qFormat/>
    <w:uiPriority w:val="99"/>
    <w:rPr>
      <w:sz w:val="21"/>
    </w:rPr>
  </w:style>
  <w:style w:type="character" w:customStyle="1" w:styleId="30">
    <w:name w:val="标题 1 字符"/>
    <w:basedOn w:val="24"/>
    <w:link w:val="4"/>
    <w:qFormat/>
    <w:locked/>
    <w:uiPriority w:val="9"/>
    <w:rPr>
      <w:rFonts w:eastAsia="宋体"/>
      <w:b/>
      <w:kern w:val="44"/>
      <w:sz w:val="44"/>
      <w:lang w:val="en-US" w:eastAsia="zh-CN"/>
    </w:rPr>
  </w:style>
  <w:style w:type="character" w:customStyle="1" w:styleId="31">
    <w:name w:val="批注文字 字符"/>
    <w:basedOn w:val="24"/>
    <w:link w:val="8"/>
    <w:semiHidden/>
    <w:qFormat/>
    <w:uiPriority w:val="99"/>
    <w:rPr>
      <w:kern w:val="2"/>
      <w:sz w:val="21"/>
      <w:szCs w:val="24"/>
    </w:rPr>
  </w:style>
  <w:style w:type="character" w:customStyle="1" w:styleId="32">
    <w:name w:val="批注主题 字符"/>
    <w:basedOn w:val="31"/>
    <w:link w:val="21"/>
    <w:semiHidden/>
    <w:qFormat/>
    <w:uiPriority w:val="99"/>
    <w:rPr>
      <w:b/>
      <w:bCs/>
      <w:kern w:val="2"/>
      <w:sz w:val="21"/>
      <w:szCs w:val="24"/>
    </w:rPr>
  </w:style>
  <w:style w:type="character" w:customStyle="1" w:styleId="33">
    <w:name w:val="正文文本 字符"/>
    <w:basedOn w:val="24"/>
    <w:link w:val="3"/>
    <w:semiHidden/>
    <w:qFormat/>
    <w:uiPriority w:val="99"/>
    <w:rPr>
      <w:kern w:val="2"/>
      <w:sz w:val="21"/>
      <w:szCs w:val="24"/>
    </w:rPr>
  </w:style>
  <w:style w:type="character" w:customStyle="1" w:styleId="34">
    <w:name w:val="正文文本首行缩进 字符"/>
    <w:basedOn w:val="33"/>
    <w:link w:val="2"/>
    <w:semiHidden/>
    <w:qFormat/>
    <w:uiPriority w:val="99"/>
    <w:rPr>
      <w:kern w:val="2"/>
      <w:sz w:val="21"/>
      <w:szCs w:val="24"/>
    </w:rPr>
  </w:style>
  <w:style w:type="character" w:customStyle="1" w:styleId="35">
    <w:name w:val="文档结构图 字符"/>
    <w:basedOn w:val="24"/>
    <w:link w:val="7"/>
    <w:semiHidden/>
    <w:qFormat/>
    <w:uiPriority w:val="99"/>
    <w:rPr>
      <w:kern w:val="2"/>
      <w:sz w:val="0"/>
      <w:szCs w:val="0"/>
    </w:rPr>
  </w:style>
  <w:style w:type="character" w:customStyle="1" w:styleId="36">
    <w:name w:val="正文文本缩进 字符"/>
    <w:basedOn w:val="24"/>
    <w:link w:val="9"/>
    <w:semiHidden/>
    <w:qFormat/>
    <w:uiPriority w:val="99"/>
    <w:rPr>
      <w:kern w:val="2"/>
      <w:sz w:val="21"/>
      <w:szCs w:val="24"/>
    </w:rPr>
  </w:style>
  <w:style w:type="character" w:customStyle="1" w:styleId="37">
    <w:name w:val="Plain Text Char"/>
    <w:basedOn w:val="24"/>
    <w:qFormat/>
    <w:uiPriority w:val="0"/>
    <w:rPr>
      <w:rFonts w:ascii="宋体" w:hAnsi="Courier New" w:cs="Courier New"/>
      <w:kern w:val="2"/>
      <w:sz w:val="21"/>
      <w:szCs w:val="21"/>
    </w:rPr>
  </w:style>
  <w:style w:type="character" w:customStyle="1" w:styleId="38">
    <w:name w:val="日期 字符"/>
    <w:basedOn w:val="24"/>
    <w:link w:val="11"/>
    <w:semiHidden/>
    <w:qFormat/>
    <w:uiPriority w:val="99"/>
    <w:rPr>
      <w:kern w:val="2"/>
      <w:sz w:val="21"/>
      <w:szCs w:val="24"/>
    </w:rPr>
  </w:style>
  <w:style w:type="character" w:customStyle="1" w:styleId="39">
    <w:name w:val="正文文本缩进 2 字符"/>
    <w:basedOn w:val="24"/>
    <w:link w:val="12"/>
    <w:semiHidden/>
    <w:qFormat/>
    <w:uiPriority w:val="99"/>
    <w:rPr>
      <w:kern w:val="2"/>
      <w:sz w:val="21"/>
      <w:szCs w:val="24"/>
    </w:rPr>
  </w:style>
  <w:style w:type="character" w:customStyle="1" w:styleId="40">
    <w:name w:val="批注框文本 字符"/>
    <w:basedOn w:val="24"/>
    <w:link w:val="13"/>
    <w:semiHidden/>
    <w:qFormat/>
    <w:uiPriority w:val="99"/>
    <w:rPr>
      <w:kern w:val="2"/>
      <w:sz w:val="0"/>
      <w:szCs w:val="0"/>
    </w:rPr>
  </w:style>
  <w:style w:type="character" w:customStyle="1" w:styleId="41">
    <w:name w:val="页脚 字符"/>
    <w:basedOn w:val="24"/>
    <w:link w:val="14"/>
    <w:qFormat/>
    <w:locked/>
    <w:uiPriority w:val="99"/>
    <w:rPr>
      <w:rFonts w:eastAsia="宋体"/>
      <w:kern w:val="2"/>
      <w:sz w:val="18"/>
      <w:lang w:val="en-US" w:eastAsia="zh-CN"/>
    </w:rPr>
  </w:style>
  <w:style w:type="character" w:customStyle="1" w:styleId="42">
    <w:name w:val="页眉 字符"/>
    <w:basedOn w:val="24"/>
    <w:link w:val="15"/>
    <w:semiHidden/>
    <w:qFormat/>
    <w:uiPriority w:val="99"/>
    <w:rPr>
      <w:kern w:val="2"/>
      <w:sz w:val="18"/>
      <w:szCs w:val="18"/>
    </w:rPr>
  </w:style>
  <w:style w:type="character" w:customStyle="1" w:styleId="43">
    <w:name w:val="正文文本缩进 3 字符"/>
    <w:basedOn w:val="24"/>
    <w:link w:val="17"/>
    <w:semiHidden/>
    <w:qFormat/>
    <w:uiPriority w:val="99"/>
    <w:rPr>
      <w:kern w:val="2"/>
      <w:sz w:val="16"/>
      <w:szCs w:val="16"/>
    </w:rPr>
  </w:style>
  <w:style w:type="character" w:customStyle="1" w:styleId="44">
    <w:name w:val="正文文本 2 字符"/>
    <w:basedOn w:val="24"/>
    <w:link w:val="18"/>
    <w:semiHidden/>
    <w:qFormat/>
    <w:uiPriority w:val="99"/>
    <w:rPr>
      <w:kern w:val="2"/>
      <w:sz w:val="21"/>
      <w:szCs w:val="24"/>
    </w:rPr>
  </w:style>
  <w:style w:type="character" w:customStyle="1" w:styleId="45">
    <w:name w:val="HTML 预设格式 字符"/>
    <w:basedOn w:val="24"/>
    <w:link w:val="19"/>
    <w:semiHidden/>
    <w:qFormat/>
    <w:uiPriority w:val="99"/>
    <w:rPr>
      <w:rFonts w:ascii="Courier New" w:hAnsi="Courier New" w:cs="Courier New"/>
      <w:kern w:val="2"/>
    </w:rPr>
  </w:style>
  <w:style w:type="character" w:customStyle="1" w:styleId="46">
    <w:name w:val="正文缩进 字符"/>
    <w:link w:val="5"/>
    <w:qFormat/>
    <w:locked/>
    <w:uiPriority w:val="0"/>
    <w:rPr>
      <w:rFonts w:ascii="宋体" w:hAnsi="PMingLiU" w:eastAsia="宋体"/>
      <w:kern w:val="2"/>
      <w:sz w:val="24"/>
      <w:lang w:val="en-US" w:eastAsia="zh-CN"/>
    </w:rPr>
  </w:style>
  <w:style w:type="character" w:customStyle="1" w:styleId="47">
    <w:name w:val="样式22 Char"/>
    <w:link w:val="48"/>
    <w:qFormat/>
    <w:locked/>
    <w:uiPriority w:val="0"/>
    <w:rPr>
      <w:color w:val="000000"/>
      <w:kern w:val="2"/>
      <w:sz w:val="24"/>
    </w:rPr>
  </w:style>
  <w:style w:type="paragraph" w:customStyle="1" w:styleId="48">
    <w:name w:val="样式22"/>
    <w:basedOn w:val="1"/>
    <w:link w:val="47"/>
    <w:qFormat/>
    <w:uiPriority w:val="0"/>
    <w:pPr>
      <w:spacing w:line="360" w:lineRule="auto"/>
      <w:ind w:firstLine="480" w:firstLineChars="200"/>
    </w:pPr>
    <w:rPr>
      <w:color w:val="000000"/>
      <w:sz w:val="24"/>
      <w:szCs w:val="20"/>
    </w:rPr>
  </w:style>
  <w:style w:type="character" w:customStyle="1" w:styleId="49">
    <w:name w:val="headline-content2"/>
    <w:basedOn w:val="24"/>
    <w:qFormat/>
    <w:uiPriority w:val="0"/>
    <w:rPr>
      <w:rFonts w:cs="Times New Roman"/>
    </w:rPr>
  </w:style>
  <w:style w:type="character" w:customStyle="1" w:styleId="50">
    <w:name w:val="style11"/>
    <w:qFormat/>
    <w:uiPriority w:val="0"/>
    <w:rPr>
      <w:sz w:val="24"/>
    </w:rPr>
  </w:style>
  <w:style w:type="character" w:customStyle="1" w:styleId="51">
    <w:name w:val="table"/>
    <w:basedOn w:val="24"/>
    <w:qFormat/>
    <w:uiPriority w:val="0"/>
    <w:rPr>
      <w:rFonts w:cs="Times New Roman"/>
    </w:rPr>
  </w:style>
  <w:style w:type="character" w:customStyle="1" w:styleId="52">
    <w:name w:val="Char Char3"/>
    <w:qFormat/>
    <w:uiPriority w:val="0"/>
    <w:rPr>
      <w:rFonts w:ascii="宋体" w:hAnsi="Courier New" w:eastAsia="宋体"/>
      <w:kern w:val="2"/>
      <w:sz w:val="21"/>
      <w:lang w:val="en-US" w:eastAsia="zh-CN"/>
    </w:rPr>
  </w:style>
  <w:style w:type="character" w:customStyle="1" w:styleId="53">
    <w:name w:val="contenttable"/>
    <w:basedOn w:val="24"/>
    <w:qFormat/>
    <w:uiPriority w:val="0"/>
    <w:rPr>
      <w:rFonts w:cs="Times New Roman"/>
    </w:rPr>
  </w:style>
  <w:style w:type="character" w:customStyle="1" w:styleId="54">
    <w:name w:val="wenzi style15"/>
    <w:basedOn w:val="24"/>
    <w:qFormat/>
    <w:uiPriority w:val="0"/>
    <w:rPr>
      <w:rFonts w:cs="Times New Roman"/>
    </w:rPr>
  </w:style>
  <w:style w:type="character" w:customStyle="1" w:styleId="55">
    <w:name w:val="表头 Char2"/>
    <w:link w:val="56"/>
    <w:qFormat/>
    <w:locked/>
    <w:uiPriority w:val="0"/>
    <w:rPr>
      <w:rFonts w:ascii="黑体" w:hAnsi="宋体" w:eastAsia="黑体"/>
      <w:sz w:val="24"/>
      <w:szCs w:val="24"/>
      <w:lang w:val="en-US" w:eastAsia="zh-CN" w:bidi="ar-SA"/>
    </w:rPr>
  </w:style>
  <w:style w:type="paragraph" w:customStyle="1" w:styleId="56">
    <w:name w:val="表头"/>
    <w:next w:val="1"/>
    <w:link w:val="55"/>
    <w:qFormat/>
    <w:uiPriority w:val="0"/>
    <w:pPr>
      <w:spacing w:line="264" w:lineRule="auto"/>
      <w:ind w:firstLine="540" w:firstLineChars="225"/>
      <w:jc w:val="both"/>
    </w:pPr>
    <w:rPr>
      <w:rFonts w:ascii="黑体" w:hAnsi="宋体" w:eastAsia="黑体" w:cs="Times New Roman"/>
      <w:sz w:val="24"/>
      <w:szCs w:val="24"/>
      <w:lang w:val="en-US" w:eastAsia="zh-CN" w:bidi="ar-SA"/>
    </w:rPr>
  </w:style>
  <w:style w:type="character" w:customStyle="1" w:styleId="57">
    <w:name w:val="style1"/>
    <w:basedOn w:val="24"/>
    <w:qFormat/>
    <w:uiPriority w:val="0"/>
    <w:rPr>
      <w:rFonts w:cs="Times New Roman"/>
    </w:rPr>
  </w:style>
  <w:style w:type="character" w:customStyle="1" w:styleId="58">
    <w:name w:val="报告书正文 Char"/>
    <w:basedOn w:val="24"/>
    <w:link w:val="59"/>
    <w:qFormat/>
    <w:locked/>
    <w:uiPriority w:val="0"/>
    <w:rPr>
      <w:rFonts w:ascii="Arial" w:hAnsi="Arial" w:cs="Times New Roman"/>
      <w:sz w:val="24"/>
      <w:lang w:bidi="ar-SA"/>
    </w:rPr>
  </w:style>
  <w:style w:type="paragraph" w:customStyle="1" w:styleId="59">
    <w:name w:val="报告书正文"/>
    <w:basedOn w:val="1"/>
    <w:link w:val="58"/>
    <w:qFormat/>
    <w:uiPriority w:val="0"/>
    <w:pPr>
      <w:adjustRightInd w:val="0"/>
      <w:snapToGrid w:val="0"/>
      <w:spacing w:line="360" w:lineRule="auto"/>
      <w:ind w:firstLine="425"/>
      <w:textAlignment w:val="baseline"/>
    </w:pPr>
    <w:rPr>
      <w:rFonts w:ascii="Arial" w:hAnsi="Arial"/>
      <w:kern w:val="0"/>
      <w:sz w:val="24"/>
      <w:szCs w:val="20"/>
    </w:rPr>
  </w:style>
  <w:style w:type="character" w:customStyle="1" w:styleId="60">
    <w:name w:val="普通文字 Char Char2"/>
    <w:basedOn w:val="24"/>
    <w:qFormat/>
    <w:uiPriority w:val="0"/>
    <w:rPr>
      <w:rFonts w:ascii="宋体" w:hAnsi="Courier New" w:eastAsia="仿宋_GB2312" w:cs="Times New Roman"/>
      <w:kern w:val="2"/>
      <w:sz w:val="28"/>
    </w:rPr>
  </w:style>
  <w:style w:type="character" w:customStyle="1" w:styleId="61">
    <w:name w:val="样式 样式 仿宋_GB2312 四号 黑色 首行缩进:  0.99 厘米 行距: 1.5 倍行距 + 首行缩进:  2 字符 Char Char"/>
    <w:qFormat/>
    <w:uiPriority w:val="0"/>
    <w:rPr>
      <w:rFonts w:ascii="仿宋_GB2312" w:eastAsia="仿宋_GB2312"/>
      <w:color w:val="000000"/>
      <w:kern w:val="2"/>
      <w:sz w:val="24"/>
      <w:lang w:val="en-US" w:eastAsia="zh-CN"/>
    </w:rPr>
  </w:style>
  <w:style w:type="character" w:customStyle="1" w:styleId="62">
    <w:name w:val="Char Char4"/>
    <w:basedOn w:val="24"/>
    <w:qFormat/>
    <w:uiPriority w:val="0"/>
    <w:rPr>
      <w:rFonts w:cs="Times New Roman"/>
      <w:kern w:val="2"/>
      <w:sz w:val="18"/>
      <w:szCs w:val="18"/>
    </w:rPr>
  </w:style>
  <w:style w:type="character" w:customStyle="1" w:styleId="63">
    <w:name w:val="Char Char2"/>
    <w:basedOn w:val="24"/>
    <w:qFormat/>
    <w:uiPriority w:val="0"/>
    <w:rPr>
      <w:rFonts w:ascii="宋体" w:hAnsi="PMingLiU" w:eastAsia="宋体" w:cs="Times New Roman"/>
      <w:kern w:val="2"/>
      <w:sz w:val="24"/>
      <w:szCs w:val="24"/>
      <w:lang w:val="en-US" w:eastAsia="zh-CN" w:bidi="ar-SA"/>
    </w:rPr>
  </w:style>
  <w:style w:type="character" w:customStyle="1" w:styleId="64">
    <w:name w:val="纯文本 字符"/>
    <w:link w:val="10"/>
    <w:qFormat/>
    <w:locked/>
    <w:uiPriority w:val="0"/>
    <w:rPr>
      <w:rFonts w:ascii="宋体" w:hAnsi="Courier New" w:eastAsia="宋体"/>
      <w:kern w:val="2"/>
      <w:sz w:val="21"/>
      <w:lang w:val="en-US" w:eastAsia="zh-CN"/>
    </w:rPr>
  </w:style>
  <w:style w:type="character" w:customStyle="1" w:styleId="65">
    <w:name w:val="纯文本 Char"/>
    <w:qFormat/>
    <w:uiPriority w:val="0"/>
    <w:rPr>
      <w:rFonts w:ascii="宋体" w:hAnsi="Courier New"/>
      <w:kern w:val="2"/>
      <w:sz w:val="21"/>
    </w:rPr>
  </w:style>
  <w:style w:type="character" w:customStyle="1" w:styleId="66">
    <w:name w:val="论文正文 Char"/>
    <w:link w:val="67"/>
    <w:qFormat/>
    <w:locked/>
    <w:uiPriority w:val="0"/>
    <w:rPr>
      <w:rFonts w:eastAsia="仿宋"/>
      <w:kern w:val="2"/>
      <w:sz w:val="24"/>
    </w:rPr>
  </w:style>
  <w:style w:type="paragraph" w:customStyle="1" w:styleId="67">
    <w:name w:val="论文正文"/>
    <w:basedOn w:val="1"/>
    <w:link w:val="66"/>
    <w:qFormat/>
    <w:uiPriority w:val="0"/>
    <w:pPr>
      <w:spacing w:line="300" w:lineRule="auto"/>
      <w:ind w:firstLine="480" w:firstLineChars="200"/>
      <w:jc w:val="left"/>
    </w:pPr>
    <w:rPr>
      <w:rFonts w:eastAsia="仿宋"/>
      <w:sz w:val="24"/>
      <w:szCs w:val="20"/>
    </w:rPr>
  </w:style>
  <w:style w:type="character" w:customStyle="1" w:styleId="68">
    <w:name w:val="正文（首行缩进两字） Char"/>
    <w:qFormat/>
    <w:uiPriority w:val="0"/>
    <w:rPr>
      <w:rFonts w:ascii="Times New Roman" w:hAnsi="Times New Roman" w:eastAsia="宋体"/>
      <w:kern w:val="2"/>
      <w:sz w:val="20"/>
    </w:rPr>
  </w:style>
  <w:style w:type="paragraph" w:customStyle="1" w:styleId="69">
    <w:name w:val="Char Char Char Char Char Char Char"/>
    <w:basedOn w:val="1"/>
    <w:qFormat/>
    <w:uiPriority w:val="0"/>
  </w:style>
  <w:style w:type="paragraph" w:customStyle="1" w:styleId="70">
    <w:name w:val="xl24"/>
    <w:basedOn w:val="1"/>
    <w:qFormat/>
    <w:uiPriority w:val="0"/>
    <w:pPr>
      <w:widowControl/>
      <w:pBdr>
        <w:bottom w:val="single" w:color="auto" w:sz="4" w:space="0"/>
        <w:right w:val="single" w:color="auto" w:sz="4" w:space="0"/>
      </w:pBdr>
      <w:spacing w:before="100" w:beforeAutospacing="1" w:after="100" w:afterAutospacing="1"/>
      <w:jc w:val="center"/>
    </w:pPr>
    <w:rPr>
      <w:kern w:val="0"/>
      <w:szCs w:val="21"/>
    </w:rPr>
  </w:style>
  <w:style w:type="paragraph" w:customStyle="1" w:styleId="71">
    <w:name w:val="样式"/>
    <w:qFormat/>
    <w:uiPriority w:val="0"/>
    <w:pPr>
      <w:widowControl w:val="0"/>
      <w:autoSpaceDE w:val="0"/>
      <w:autoSpaceDN w:val="0"/>
      <w:adjustRightInd w:val="0"/>
    </w:pPr>
    <w:rPr>
      <w:rFonts w:ascii="宋体" w:hAnsi="宋体" w:eastAsia="宋体" w:cs="宋体"/>
      <w:sz w:val="24"/>
      <w:szCs w:val="24"/>
      <w:lang w:val="en-US" w:eastAsia="zh-CN" w:bidi="ar-SA"/>
    </w:rPr>
  </w:style>
  <w:style w:type="paragraph" w:customStyle="1" w:styleId="72">
    <w:name w:val="Char Char Char"/>
    <w:basedOn w:val="1"/>
    <w:qFormat/>
    <w:uiPriority w:val="0"/>
  </w:style>
  <w:style w:type="paragraph" w:customStyle="1" w:styleId="73">
    <w:name w:val="Char Char Char Char"/>
    <w:basedOn w:val="1"/>
    <w:qFormat/>
    <w:uiPriority w:val="0"/>
  </w:style>
  <w:style w:type="paragraph" w:customStyle="1" w:styleId="74">
    <w:name w:val="表居中（中文）"/>
    <w:basedOn w:val="1"/>
    <w:qFormat/>
    <w:uiPriority w:val="0"/>
    <w:pPr>
      <w:spacing w:line="360" w:lineRule="exact"/>
      <w:jc w:val="center"/>
    </w:pPr>
    <w:rPr>
      <w:rFonts w:ascii="宋体" w:hAnsi="宋体"/>
      <w:bCs/>
      <w:color w:val="000000"/>
      <w:szCs w:val="21"/>
    </w:rPr>
  </w:style>
  <w:style w:type="paragraph" w:customStyle="1" w:styleId="75">
    <w:name w:val="Char Char Char Char Char Char Char Char Char Char Char Char Char"/>
    <w:basedOn w:val="1"/>
    <w:qFormat/>
    <w:uiPriority w:val="0"/>
  </w:style>
  <w:style w:type="paragraph" w:customStyle="1" w:styleId="76">
    <w:name w:val="纯文本2"/>
    <w:basedOn w:val="1"/>
    <w:qFormat/>
    <w:uiPriority w:val="0"/>
    <w:rPr>
      <w:rFonts w:ascii="宋体" w:hAnsi="Courier New" w:eastAsia="仿宋_GB2312"/>
      <w:sz w:val="28"/>
      <w:szCs w:val="20"/>
    </w:rPr>
  </w:style>
  <w:style w:type="paragraph" w:customStyle="1" w:styleId="77">
    <w:name w:val="样式 样式 仿宋_GB2312 四号 黑色 首行缩进:  0.99 厘米 行距: 1.5 倍行距 + 首行缩进:  2 字符"/>
    <w:basedOn w:val="1"/>
    <w:qFormat/>
    <w:uiPriority w:val="0"/>
    <w:pPr>
      <w:spacing w:line="280" w:lineRule="exact"/>
      <w:ind w:firstLine="1575"/>
    </w:pPr>
    <w:rPr>
      <w:rFonts w:eastAsia="仿宋_GB2312" w:cs="宋体"/>
      <w:sz w:val="18"/>
      <w:szCs w:val="18"/>
    </w:rPr>
  </w:style>
  <w:style w:type="paragraph" w:customStyle="1" w:styleId="78">
    <w:name w:val="Char1"/>
    <w:basedOn w:val="1"/>
    <w:qFormat/>
    <w:uiPriority w:val="0"/>
  </w:style>
  <w:style w:type="paragraph" w:customStyle="1" w:styleId="79">
    <w:name w:val="[基本段落]"/>
    <w:basedOn w:val="1"/>
    <w:qFormat/>
    <w:uiPriority w:val="0"/>
    <w:pPr>
      <w:autoSpaceDE w:val="0"/>
      <w:autoSpaceDN w:val="0"/>
      <w:adjustRightInd w:val="0"/>
      <w:spacing w:line="288" w:lineRule="auto"/>
      <w:textAlignment w:val="center"/>
    </w:pPr>
    <w:rPr>
      <w:rFonts w:ascii="Adobe 宋体 Std L" w:eastAsia="Adobe 宋体 Std L" w:cs="Adobe 宋体 Std L"/>
      <w:color w:val="000000"/>
      <w:kern w:val="0"/>
      <w:sz w:val="24"/>
      <w:lang w:val="zh-CN"/>
    </w:rPr>
  </w:style>
  <w:style w:type="paragraph" w:customStyle="1" w:styleId="80">
    <w:name w:val="样式 样式 正文缩进正文（首行缩进两字）s4标题4正文不缩进表正文正文非缩进文本条款正文（首行缩进两字） Char C... +..."/>
    <w:basedOn w:val="1"/>
    <w:qFormat/>
    <w:uiPriority w:val="0"/>
    <w:pPr>
      <w:widowControl/>
      <w:spacing w:line="408" w:lineRule="auto"/>
      <w:ind w:firstLine="480" w:firstLineChars="200"/>
      <w:contextualSpacing/>
    </w:pPr>
    <w:rPr>
      <w:rFonts w:ascii="宋体" w:hAnsi="宋体"/>
      <w:color w:val="008000"/>
      <w:sz w:val="24"/>
    </w:rPr>
  </w:style>
  <w:style w:type="paragraph" w:customStyle="1" w:styleId="81">
    <w:name w:val="默认段落字体 Para Char"/>
    <w:basedOn w:val="1"/>
    <w:qFormat/>
    <w:uiPriority w:val="0"/>
    <w:rPr>
      <w:sz w:val="24"/>
    </w:rPr>
  </w:style>
  <w:style w:type="paragraph" w:customStyle="1" w:styleId="82">
    <w:name w:val="Char Char Char1 Char Char Char Char Char Char Char"/>
    <w:basedOn w:val="1"/>
    <w:next w:val="1"/>
    <w:qFormat/>
    <w:uiPriority w:val="0"/>
    <w:pPr>
      <w:spacing w:line="480" w:lineRule="atLeast"/>
    </w:pPr>
    <w:rPr>
      <w:sz w:val="28"/>
      <w:szCs w:val="20"/>
    </w:rPr>
  </w:style>
  <w:style w:type="paragraph" w:customStyle="1" w:styleId="83">
    <w:name w:val="Char Char Char1"/>
    <w:basedOn w:val="7"/>
    <w:qFormat/>
    <w:uiPriority w:val="0"/>
    <w:pPr>
      <w:spacing w:beforeLines="50" w:afterLines="50" w:line="360" w:lineRule="auto"/>
    </w:pPr>
    <w:rPr>
      <w:rFonts w:ascii="Tahoma" w:hAnsi="Tahoma"/>
      <w:sz w:val="24"/>
    </w:rPr>
  </w:style>
  <w:style w:type="paragraph" w:customStyle="1" w:styleId="84">
    <w:name w:val="1表格头"/>
    <w:basedOn w:val="85"/>
    <w:qFormat/>
    <w:uiPriority w:val="0"/>
    <w:pPr>
      <w:spacing w:line="420" w:lineRule="auto"/>
      <w:outlineLvl w:val="3"/>
    </w:pPr>
    <w:rPr>
      <w:rFonts w:eastAsia="黑体"/>
      <w:b/>
      <w:sz w:val="24"/>
    </w:rPr>
  </w:style>
  <w:style w:type="paragraph" w:customStyle="1" w:styleId="85">
    <w:name w:val="1表格"/>
    <w:basedOn w:val="1"/>
    <w:qFormat/>
    <w:uiPriority w:val="0"/>
    <w:pPr>
      <w:snapToGrid w:val="0"/>
      <w:jc w:val="center"/>
      <w:outlineLvl w:val="4"/>
    </w:pPr>
    <w:rPr>
      <w:rFonts w:eastAsia="仿宋_GB2312"/>
    </w:rPr>
  </w:style>
  <w:style w:type="paragraph" w:customStyle="1" w:styleId="86">
    <w:name w:val="Char Char Char Char Char Char Char11"/>
    <w:basedOn w:val="1"/>
    <w:qFormat/>
    <w:uiPriority w:val="0"/>
  </w:style>
  <w:style w:type="paragraph" w:customStyle="1" w:styleId="87">
    <w:name w:val="样式1"/>
    <w:basedOn w:val="1"/>
    <w:qFormat/>
    <w:uiPriority w:val="0"/>
    <w:pPr>
      <w:ind w:firstLine="538" w:firstLineChars="168"/>
    </w:pPr>
    <w:rPr>
      <w:rFonts w:ascii="Arial" w:hAnsi="Arial" w:cs="Arial"/>
      <w:spacing w:val="20"/>
      <w:sz w:val="28"/>
      <w:szCs w:val="28"/>
    </w:rPr>
  </w:style>
  <w:style w:type="paragraph" w:customStyle="1" w:styleId="88">
    <w:name w:val="Char2"/>
    <w:basedOn w:val="1"/>
    <w:qFormat/>
    <w:uiPriority w:val="0"/>
  </w:style>
  <w:style w:type="paragraph" w:customStyle="1" w:styleId="89">
    <w:name w:val="正文1"/>
    <w:basedOn w:val="1"/>
    <w:qFormat/>
    <w:uiPriority w:val="0"/>
    <w:pPr>
      <w:snapToGrid w:val="0"/>
      <w:spacing w:beforeLines="20" w:afterLines="20" w:line="312" w:lineRule="auto"/>
      <w:ind w:firstLine="475" w:firstLineChars="198"/>
    </w:pPr>
    <w:rPr>
      <w:rFonts w:ascii="宋体" w:hAnsi="宋体"/>
      <w:color w:val="000000"/>
      <w:sz w:val="24"/>
      <w:szCs w:val="20"/>
    </w:rPr>
  </w:style>
  <w:style w:type="paragraph" w:customStyle="1" w:styleId="90">
    <w:name w:val="Char Char Char Char Char Char Char1"/>
    <w:basedOn w:val="1"/>
    <w:qFormat/>
    <w:uiPriority w:val="0"/>
  </w:style>
  <w:style w:type="paragraph" w:customStyle="1" w:styleId="91">
    <w:name w:val="Char Char Char1 Char Char Char Char Char Char Char Char Char1 Char"/>
    <w:basedOn w:val="1"/>
    <w:qFormat/>
    <w:uiPriority w:val="0"/>
    <w:rPr>
      <w:szCs w:val="20"/>
    </w:rPr>
  </w:style>
  <w:style w:type="paragraph" w:customStyle="1" w:styleId="92">
    <w:name w:val="Char Char 字元 字元 字元 Char Char Char Char"/>
    <w:basedOn w:val="1"/>
    <w:qFormat/>
    <w:uiPriority w:val="0"/>
    <w:pPr>
      <w:adjustRightInd w:val="0"/>
      <w:spacing w:line="360" w:lineRule="auto"/>
    </w:pPr>
    <w:rPr>
      <w:szCs w:val="20"/>
    </w:rPr>
  </w:style>
  <w:style w:type="paragraph" w:customStyle="1" w:styleId="93">
    <w:name w:val="p0"/>
    <w:basedOn w:val="1"/>
    <w:qFormat/>
    <w:uiPriority w:val="0"/>
    <w:pPr>
      <w:widowControl/>
    </w:pPr>
    <w:rPr>
      <w:kern w:val="0"/>
      <w:szCs w:val="20"/>
    </w:rPr>
  </w:style>
  <w:style w:type="paragraph" w:customStyle="1" w:styleId="94">
    <w:name w:val="默认段落字体 Para Char Char Char Char"/>
    <w:basedOn w:val="1"/>
    <w:qFormat/>
    <w:uiPriority w:val="0"/>
  </w:style>
  <w:style w:type="paragraph" w:customStyle="1" w:styleId="95">
    <w:name w:val="xl26"/>
    <w:basedOn w:val="1"/>
    <w:qFormat/>
    <w:uiPriority w:val="0"/>
    <w:pPr>
      <w:widowControl/>
      <w:pBdr>
        <w:bottom w:val="single" w:color="auto" w:sz="4" w:space="0"/>
        <w:right w:val="single" w:color="auto" w:sz="4" w:space="0"/>
      </w:pBdr>
      <w:spacing w:before="100" w:after="100"/>
      <w:jc w:val="center"/>
      <w:textAlignment w:val="top"/>
    </w:pPr>
    <w:rPr>
      <w:kern w:val="0"/>
      <w:szCs w:val="20"/>
    </w:rPr>
  </w:style>
  <w:style w:type="paragraph" w:customStyle="1" w:styleId="96">
    <w:name w:val="Char Char Char Char Char Char Char Char Char Char"/>
    <w:basedOn w:val="1"/>
    <w:qFormat/>
    <w:uiPriority w:val="0"/>
    <w:pPr>
      <w:spacing w:line="360" w:lineRule="auto"/>
      <w:ind w:firstLine="200" w:firstLineChars="200"/>
    </w:pPr>
    <w:rPr>
      <w:rFonts w:ascii="宋体" w:hAnsi="宋体" w:cs="宋体"/>
      <w:sz w:val="24"/>
    </w:rPr>
  </w:style>
  <w:style w:type="paragraph" w:customStyle="1" w:styleId="97">
    <w:name w:val="1 Char"/>
    <w:basedOn w:val="1"/>
    <w:qFormat/>
    <w:uiPriority w:val="0"/>
    <w:rPr>
      <w:rFonts w:ascii="Tahoma" w:hAnsi="Tahoma"/>
      <w:sz w:val="24"/>
      <w:szCs w:val="20"/>
    </w:rPr>
  </w:style>
  <w:style w:type="paragraph" w:customStyle="1" w:styleId="98">
    <w:name w:val="Char Char Char Char Char Char Char Char Char Char Char Char Char Char Char1 Char"/>
    <w:basedOn w:val="1"/>
    <w:qFormat/>
    <w:uiPriority w:val="0"/>
  </w:style>
  <w:style w:type="paragraph" w:customStyle="1" w:styleId="99">
    <w:name w:val="表格标题"/>
    <w:basedOn w:val="1"/>
    <w:qFormat/>
    <w:uiPriority w:val="0"/>
    <w:pPr>
      <w:widowControl/>
      <w:spacing w:before="120" w:line="360" w:lineRule="auto"/>
      <w:jc w:val="center"/>
    </w:pPr>
    <w:rPr>
      <w:rFonts w:ascii="宋体"/>
      <w:sz w:val="24"/>
      <w:szCs w:val="20"/>
    </w:rPr>
  </w:style>
  <w:style w:type="paragraph" w:customStyle="1" w:styleId="100">
    <w:name w:val="图片"/>
    <w:basedOn w:val="1"/>
    <w:next w:val="6"/>
    <w:qFormat/>
    <w:uiPriority w:val="0"/>
    <w:pPr>
      <w:widowControl/>
      <w:spacing w:line="360" w:lineRule="auto"/>
      <w:ind w:firstLine="480" w:firstLineChars="200"/>
      <w:jc w:val="left"/>
    </w:pPr>
    <w:rPr>
      <w:rFonts w:ascii="宋体" w:hAnsi="宋体"/>
      <w:spacing w:val="-4"/>
      <w:kern w:val="28"/>
      <w:sz w:val="24"/>
    </w:rPr>
  </w:style>
  <w:style w:type="paragraph" w:customStyle="1" w:styleId="101">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02">
    <w:name w:val="Char Char Char Char Char Char Char Char Char Char Char Char Char Char Char Char"/>
    <w:basedOn w:val="1"/>
    <w:qFormat/>
    <w:uiPriority w:val="0"/>
  </w:style>
  <w:style w:type="paragraph" w:customStyle="1" w:styleId="103">
    <w:name w:val="样式4"/>
    <w:basedOn w:val="1"/>
    <w:qFormat/>
    <w:uiPriority w:val="0"/>
    <w:pPr>
      <w:adjustRightInd w:val="0"/>
      <w:snapToGrid w:val="0"/>
      <w:jc w:val="center"/>
    </w:pPr>
    <w:rPr>
      <w:sz w:val="24"/>
      <w:szCs w:val="28"/>
    </w:rPr>
  </w:style>
  <w:style w:type="paragraph" w:customStyle="1" w:styleId="104">
    <w:name w:val="1文章"/>
    <w:basedOn w:val="1"/>
    <w:qFormat/>
    <w:uiPriority w:val="0"/>
    <w:pPr>
      <w:snapToGrid w:val="0"/>
      <w:spacing w:line="420" w:lineRule="auto"/>
      <w:ind w:firstLine="454"/>
      <w:outlineLvl w:val="4"/>
    </w:pPr>
    <w:rPr>
      <w:rFonts w:eastAsia="仿宋_GB2312"/>
      <w:sz w:val="24"/>
    </w:rPr>
  </w:style>
  <w:style w:type="paragraph" w:customStyle="1" w:styleId="105">
    <w:name w:val="表格"/>
    <w:basedOn w:val="1"/>
    <w:qFormat/>
    <w:uiPriority w:val="0"/>
    <w:pPr>
      <w:overflowPunct w:val="0"/>
      <w:snapToGrid w:val="0"/>
      <w:spacing w:before="100" w:after="100" w:line="200" w:lineRule="atLeast"/>
      <w:ind w:firstLine="200" w:firstLineChars="200"/>
      <w:jc w:val="center"/>
    </w:pPr>
    <w:rPr>
      <w:rFonts w:eastAsia="仿宋_GB2312"/>
      <w:sz w:val="28"/>
      <w:szCs w:val="20"/>
    </w:rPr>
  </w:style>
  <w:style w:type="paragraph" w:customStyle="1" w:styleId="106">
    <w:name w:val="Char"/>
    <w:basedOn w:val="1"/>
    <w:qFormat/>
    <w:uiPriority w:val="0"/>
  </w:style>
  <w:style w:type="paragraph" w:customStyle="1" w:styleId="107">
    <w:name w:val="Char1 Char Char Char Char Char Char"/>
    <w:basedOn w:val="1"/>
    <w:qFormat/>
    <w:uiPriority w:val="0"/>
  </w:style>
  <w:style w:type="paragraph" w:customStyle="1" w:styleId="108">
    <w:name w:val="二级标题 Char Char Char"/>
    <w:basedOn w:val="1"/>
    <w:next w:val="1"/>
    <w:qFormat/>
    <w:uiPriority w:val="0"/>
    <w:pPr>
      <w:spacing w:line="529" w:lineRule="exact"/>
      <w:ind w:firstLine="200" w:firstLineChars="200"/>
    </w:pPr>
  </w:style>
  <w:style w:type="paragraph" w:customStyle="1" w:styleId="109">
    <w:name w:val="列出段落1"/>
    <w:basedOn w:val="1"/>
    <w:qFormat/>
    <w:uiPriority w:val="99"/>
    <w:pPr>
      <w:ind w:firstLine="420" w:firstLineChars="200"/>
    </w:pPr>
  </w:style>
  <w:style w:type="paragraph" w:customStyle="1" w:styleId="110">
    <w:name w:val="Char Char Char Char1"/>
    <w:basedOn w:val="1"/>
    <w:qFormat/>
    <w:uiPriority w:val="0"/>
  </w:style>
  <w:style w:type="paragraph" w:customStyle="1" w:styleId="111">
    <w:name w:val="Char Char Char Char2"/>
    <w:basedOn w:val="1"/>
    <w:qFormat/>
    <w:uiPriority w:val="0"/>
  </w:style>
  <w:style w:type="paragraph" w:customStyle="1" w:styleId="112">
    <w:name w:val="Char Char Char Char Char Char Char Char Char Char Char Char1 Char"/>
    <w:basedOn w:val="1"/>
    <w:qFormat/>
    <w:uiPriority w:val="0"/>
    <w:pPr>
      <w:spacing w:line="360" w:lineRule="auto"/>
      <w:ind w:firstLine="200" w:firstLineChars="200"/>
    </w:pPr>
    <w:rPr>
      <w:rFonts w:ascii="宋体" w:hAnsi="宋体" w:eastAsia="仿宋_GB2312" w:cs="宋体"/>
      <w:sz w:val="24"/>
      <w:szCs w:val="32"/>
    </w:rPr>
  </w:style>
  <w:style w:type="paragraph" w:customStyle="1" w:styleId="113">
    <w:name w:val="Char Char Char Char Char Char Char Char"/>
    <w:basedOn w:val="1"/>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7" Type="http://schemas.openxmlformats.org/officeDocument/2006/relationships/fontTable" Target="fontTable.xml"/><Relationship Id="rId26" Type="http://schemas.openxmlformats.org/officeDocument/2006/relationships/customXml" Target="../customXml/item2.xml"/><Relationship Id="rId25" Type="http://schemas.openxmlformats.org/officeDocument/2006/relationships/customXml" Target="../customXml/item1.xml"/><Relationship Id="rId24" Type="http://schemas.openxmlformats.org/officeDocument/2006/relationships/image" Target="media/image16.emf"/><Relationship Id="rId23" Type="http://schemas.openxmlformats.org/officeDocument/2006/relationships/oleObject" Target="embeddings/oleObject1.bin"/><Relationship Id="rId22" Type="http://schemas.openxmlformats.org/officeDocument/2006/relationships/image" Target="media/image15.png"/><Relationship Id="rId21" Type="http://schemas.openxmlformats.org/officeDocument/2006/relationships/image" Target="media/image14.jpe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jpeg"/><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3078" textRotate="1"/>
    <customShpInfo spid="_x0000_s3073" textRotate="1"/>
    <customShpInfo spid="_x0000_s3080" textRotate="1"/>
    <customShpInfo spid="_x0000_s3081" textRotate="1"/>
    <customShpInfo spid="_x0000_s2051"/>
    <customShpInfo spid="_x0000_s2054"/>
    <customShpInfo spid="_x0000_s2055"/>
    <customShpInfo spid="_x0000_s2056"/>
    <customShpInfo spid="_x0000_s2053"/>
    <customShpInfo spid="_x0000_s2057"/>
    <customShpInfo spid="_x0000_s2052"/>
    <customShpInfo spid="_x0000_s2060"/>
    <customShpInfo spid="_x0000_s2061"/>
    <customShpInfo spid="_x0000_s2062"/>
    <customShpInfo spid="_x0000_s2059"/>
    <customShpInfo spid="_x0000_s2063"/>
    <customShpInfo spid="_x0000_s2058"/>
    <customShpInfo spid="_x0000_s2066"/>
    <customShpInfo spid="_x0000_s2067"/>
    <customShpInfo spid="_x0000_s2068"/>
    <customShpInfo spid="_x0000_s2069"/>
    <customShpInfo spid="_x0000_s2070"/>
    <customShpInfo spid="_x0000_s2071"/>
    <customShpInfo spid="_x0000_s2072"/>
    <customShpInfo spid="_x0000_s2073"/>
    <customShpInfo spid="_x0000_s2074"/>
    <customShpInfo spid="_x0000_s2075"/>
    <customShpInfo spid="_x0000_s2076"/>
    <customShpInfo spid="_x0000_s2077"/>
    <customShpInfo spid="_x0000_s2078"/>
    <customShpInfo spid="_x0000_s2079"/>
    <customShpInfo spid="_x0000_s2080"/>
    <customShpInfo spid="_x0000_s2088"/>
    <customShpInfo spid="_x0000_s2090"/>
    <customShpInfo spid="_x0000_s2089"/>
    <customShpInfo spid="_x0000_s2082"/>
    <customShpInfo spid="_x0000_s2083"/>
    <customShpInfo spid="_x0000_s2084"/>
    <customShpInfo spid="_x0000_s2085"/>
    <customShpInfo spid="_x0000_s2086"/>
    <customShpInfo spid="_x0000_s2087"/>
    <customShpInfo spid="_x0000_s2229"/>
    <customShpInfo spid="_x0000_s2194"/>
    <customShpInfo spid="_x0000_s2195"/>
    <customShpInfo spid="_x0000_s2196"/>
    <customShpInfo spid="_x0000_s2193"/>
    <customShpInfo spid="_x0000_s2197"/>
    <customShpInfo spid="_x0000_s2192"/>
    <customShpInfo spid="_x0000_s2230"/>
    <customShpInfo spid="_x0000_s2231"/>
    <customShpInfo spid="_x0000_s2198"/>
    <customShpInfo spid="_x0000_s2219"/>
    <customShpInfo spid="_x0000_s2199"/>
    <customShpInfo spid="_x0000_s2200"/>
    <customShpInfo spid="_x0000_s2201"/>
    <customShpInfo spid="_x0000_s2202"/>
    <customShpInfo spid="_x0000_s2203"/>
    <customShpInfo spid="_x0000_s2204"/>
    <customShpInfo spid="_x0000_s2205"/>
    <customShpInfo spid="_x0000_s2206"/>
    <customShpInfo spid="_x0000_s2207"/>
    <customShpInfo spid="_x0000_s2208"/>
    <customShpInfo spid="_x0000_s2209"/>
    <customShpInfo spid="_x0000_s2210"/>
    <customShpInfo spid="_x0000_s2211"/>
    <customShpInfo spid="_x0000_s2213"/>
    <customShpInfo spid="_x0000_s2214"/>
    <customShpInfo spid="_x0000_s2215"/>
    <customShpInfo spid="_x0000_s2216"/>
    <customShpInfo spid="_x0000_s2218"/>
    <customShpInfo spid="_x0000_s2220"/>
    <customShpInfo spid="_x0000_s2221"/>
    <customShpInfo spid="_x0000_s2222"/>
    <customShpInfo spid="_x0000_s2223"/>
    <customShpInfo spid="_x0000_s2224"/>
    <customShpInfo spid="_x0000_s2225"/>
    <customShpInfo spid="_x0000_s2226"/>
    <customShpInfo spid="_x0000_s2227"/>
    <customShpInfo spid="_x0000_s2228"/>
    <customShpInfo spid="_x0000_s2091"/>
    <customShpInfo spid="_x0000_s2092"/>
    <customShpInfo spid="_x0000_s2093"/>
    <customShpInfo spid="_x0000_s2094"/>
    <customShpInfo spid="_x0000_s2095"/>
    <customShpInfo spid="_x0000_s2096"/>
    <customShpInfo spid="_x0000_s2162"/>
    <customShpInfo spid="_x0000_s2183"/>
    <customShpInfo spid="_x0000_s2139"/>
    <customShpInfo spid="_x0000_s2140"/>
    <customShpInfo spid="_x0000_s2141"/>
    <customShpInfo spid="_x0000_s2142"/>
    <customShpInfo spid="_x0000_s2143"/>
    <customShpInfo spid="_x0000_s2144"/>
    <customShpInfo spid="_x0000_s2145"/>
    <customShpInfo spid="_x0000_s2146"/>
    <customShpInfo spid="_x0000_s2147"/>
    <customShpInfo spid="_x0000_s2138"/>
    <customShpInfo spid="_x0000_s2135"/>
    <customShpInfo spid="_x0000_s2134"/>
    <customShpInfo spid="_x0000_s2133"/>
    <customShpInfo spid="_x0000_s2132"/>
    <customShpInfo spid="_x0000_s2137"/>
    <customShpInfo spid="_x0000_s2136"/>
    <customShpInfo spid="_x0000_s2158"/>
    <customShpInfo spid="_x0000_s2157"/>
    <customShpInfo spid="_x0000_s2150"/>
    <customShpInfo spid="_x0000_s2151"/>
    <customShpInfo spid="_x0000_s2152"/>
    <customShpInfo spid="_x0000_s2153"/>
    <customShpInfo spid="_x0000_s2154"/>
    <customShpInfo spid="_x0000_s2155"/>
    <customShpInfo spid="_x0000_s2156"/>
    <customShpInfo spid="_x0000_s2149"/>
    <customShpInfo spid="_x0000_s2148"/>
    <customShpInfo spid="_x0000_s2161"/>
    <customShpInfo spid="_x0000_s2160"/>
    <customShpInfo spid="_x0000_s2159"/>
    <customShpInfo spid="_x0000_s2176"/>
    <customShpInfo spid="_x0000_s2175"/>
    <customShpInfo spid="_x0000_s2128"/>
    <customShpInfo spid="_x0000_s2129"/>
    <customShpInfo spid="_x0000_s2130"/>
    <customShpInfo spid="_x0000_s2186"/>
    <customShpInfo spid="_x0000_s2187"/>
    <customShpInfo spid="_x0000_s2188"/>
    <customShpInfo spid="_x0000_s2185"/>
    <customShpInfo spid="_x0000_s2189"/>
    <customShpInfo spid="_x0000_s2184"/>
    <customShpInfo spid="_x0000_s2173"/>
    <customShpInfo spid="_x0000_s2172"/>
    <customShpInfo spid="_x0000_s2171"/>
    <customShpInfo spid="_x0000_s2170"/>
    <customShpInfo spid="_x0000_s2168"/>
    <customShpInfo spid="_x0000_s2167"/>
    <customShpInfo spid="_x0000_s2164"/>
    <customShpInfo spid="_x0000_s2165"/>
    <customShpInfo spid="_x0000_s2166"/>
    <customShpInfo spid="_x0000_s2163"/>
    <customShpInfo spid="_x0000_s2179"/>
    <customShpInfo spid="_x0000_s2177"/>
    <customShpInfo spid="_x0000_s2178"/>
    <customShpInfo spid="_x0000_s2182"/>
    <customShpInfo spid="_x0000_s2191"/>
    <customShpInfo spid="_x0000_s2190"/>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C5ACB95-023C-4B4A-AC9A-482F5A71DC06}">
  <ds:schemaRefs/>
</ds:datastoreItem>
</file>

<file path=docProps/app.xml><?xml version="1.0" encoding="utf-8"?>
<Properties xmlns="http://schemas.openxmlformats.org/officeDocument/2006/extended-properties" xmlns:vt="http://schemas.openxmlformats.org/officeDocument/2006/docPropsVTypes">
  <Template>Normal</Template>
  <Company>Shandong Normal University</Company>
  <Pages>36</Pages>
  <Words>2978</Words>
  <Characters>16975</Characters>
  <Lines>141</Lines>
  <Paragraphs>39</Paragraphs>
  <TotalTime>0</TotalTime>
  <ScaleCrop>false</ScaleCrop>
  <LinksUpToDate>false</LinksUpToDate>
  <CharactersWithSpaces>19914</CharactersWithSpaces>
  <Application>WPS Office_11.1.0.8567_F1E327BC-269C-435d-A152-05C5408002CA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2017-03-27T06:15:00Z</dcterms:created>
  <dc:creator>Xu Zongbo</dc:creator>
  <cp:lastModifiedBy>小翼o</cp:lastModifiedBy>
  <cp:lastPrinted>2018-12-04T12:53:00Z</cp:lastPrinted>
  <dcterms:modified xsi:type="dcterms:W3CDTF">2019-04-24T06:10:40Z</dcterms:modified>
  <dc:title>建设项目环境影响报告表建设单位(盖章)项目名称：编制日期：    年    月</dc:title>
  <cp:revision>552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2052-11.1.0.8567</vt:lpwstr>
  </property>
</Properties>
</file>